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ind w:firstLine="0" w:firstLineChars="0"/>
        <w:jc w:val="both"/>
        <w:rPr>
          <w:rFonts w:ascii="Times New Roman" w:hAnsi="Times New Roman" w:cs="Times New Roman"/>
          <w:b/>
          <w:bCs/>
          <w:color w:val="auto"/>
          <w:sz w:val="56"/>
        </w:rPr>
      </w:pPr>
      <w:bookmarkStart w:id="168" w:name="_GoBack"/>
      <w:bookmarkEnd w:id="168"/>
    </w:p>
    <w:p>
      <w:pPr>
        <w:adjustRightInd/>
        <w:ind w:firstLine="0" w:firstLineChars="0"/>
        <w:jc w:val="center"/>
        <w:rPr>
          <w:rFonts w:ascii="方正小标宋简体" w:hAnsi="Times New Roman" w:eastAsia="方正小标宋简体" w:cs="Times New Roman"/>
          <w:bCs/>
          <w:color w:val="auto"/>
          <w:sz w:val="46"/>
          <w:szCs w:val="44"/>
        </w:rPr>
      </w:pPr>
      <w:r>
        <w:rPr>
          <w:rFonts w:hint="eastAsia" w:ascii="方正小标宋简体" w:hAnsi="Times New Roman" w:eastAsia="方正小标宋简体" w:cs="Times New Roman"/>
          <w:bCs/>
          <w:color w:val="auto"/>
          <w:sz w:val="46"/>
          <w:szCs w:val="44"/>
        </w:rPr>
        <w:t>长清区畜禽养殖污染防治“十四五”规划</w:t>
      </w:r>
    </w:p>
    <w:p>
      <w:pPr>
        <w:adjustRightInd/>
        <w:ind w:firstLine="560"/>
        <w:rPr>
          <w:rFonts w:ascii="楷体_GB2312" w:hAnsi="楷体_GB2312" w:eastAsia="楷体_GB2312" w:cs="楷体_GB2312"/>
          <w:sz w:val="32"/>
          <w:szCs w:val="32"/>
        </w:rPr>
      </w:pPr>
      <w:r>
        <w:rPr>
          <w:rFonts w:hint="eastAsia" w:ascii="Times New Roman" w:hAnsi="Times New Roman" w:cs="Times New Roman"/>
          <w:color w:val="auto"/>
        </w:rPr>
        <w:t xml:space="preserve">                  </w:t>
      </w:r>
    </w:p>
    <w:p>
      <w:pPr>
        <w:pStyle w:val="9"/>
        <w:ind w:firstLine="560"/>
        <w:rPr>
          <w:rFonts w:ascii="Times New Roman" w:hAnsi="Times New Roman" w:cs="Times New Roman"/>
          <w:color w:val="auto"/>
        </w:rPr>
      </w:pPr>
    </w:p>
    <w:p>
      <w:pPr>
        <w:pStyle w:val="10"/>
        <w:ind w:firstLine="560"/>
        <w:rPr>
          <w:rFonts w:ascii="Times New Roman" w:hAnsi="Times New Roman" w:cs="Times New Roman"/>
          <w:color w:val="auto"/>
        </w:rPr>
      </w:pPr>
    </w:p>
    <w:p>
      <w:pPr>
        <w:pStyle w:val="11"/>
        <w:ind w:firstLine="640"/>
        <w:rPr>
          <w:color w:val="auto"/>
        </w:rPr>
      </w:pPr>
    </w:p>
    <w:p>
      <w:pPr>
        <w:adjustRightInd/>
        <w:ind w:firstLine="560"/>
        <w:rPr>
          <w:rFonts w:ascii="Times New Roman" w:hAnsi="Times New Roman" w:cs="Times New Roman"/>
          <w:color w:val="auto"/>
        </w:rPr>
      </w:pPr>
    </w:p>
    <w:p>
      <w:pPr>
        <w:pStyle w:val="9"/>
        <w:ind w:firstLine="0" w:firstLineChars="0"/>
        <w:rPr>
          <w:color w:val="auto"/>
        </w:rPr>
      </w:pPr>
    </w:p>
    <w:p>
      <w:pPr>
        <w:adjustRightInd/>
        <w:ind w:firstLine="560"/>
        <w:rPr>
          <w:rFonts w:ascii="Times New Roman" w:hAnsi="Times New Roman" w:cs="Times New Roman"/>
          <w:color w:val="auto"/>
        </w:rPr>
      </w:pPr>
    </w:p>
    <w:p>
      <w:pPr>
        <w:adjustRightInd/>
        <w:ind w:firstLine="560"/>
        <w:rPr>
          <w:rFonts w:ascii="Times New Roman" w:hAnsi="Times New Roman" w:cs="Times New Roman"/>
          <w:color w:val="auto"/>
        </w:rPr>
      </w:pPr>
    </w:p>
    <w:p>
      <w:pPr>
        <w:adjustRightInd/>
        <w:ind w:firstLine="560"/>
        <w:rPr>
          <w:rFonts w:ascii="Times New Roman" w:hAnsi="Times New Roman" w:cs="Times New Roman"/>
          <w:color w:val="auto"/>
        </w:rPr>
      </w:pPr>
    </w:p>
    <w:p>
      <w:pPr>
        <w:adjustRightInd/>
        <w:ind w:firstLine="560"/>
        <w:rPr>
          <w:rFonts w:ascii="Times New Roman" w:hAnsi="Times New Roman" w:cs="Times New Roman"/>
          <w:color w:val="auto"/>
        </w:rPr>
      </w:pPr>
    </w:p>
    <w:p>
      <w:pPr>
        <w:adjustRightInd/>
        <w:ind w:firstLine="560"/>
        <w:rPr>
          <w:rFonts w:ascii="Times New Roman" w:hAnsi="Times New Roman" w:cs="Times New Roman"/>
          <w:color w:val="auto"/>
        </w:rPr>
      </w:pPr>
    </w:p>
    <w:p>
      <w:pPr>
        <w:adjustRightInd/>
        <w:ind w:firstLine="560"/>
        <w:rPr>
          <w:rFonts w:ascii="Times New Roman" w:hAnsi="Times New Roman" w:cs="Times New Roman"/>
          <w:color w:val="auto"/>
        </w:rPr>
      </w:pPr>
    </w:p>
    <w:p>
      <w:pPr>
        <w:pStyle w:val="9"/>
        <w:ind w:firstLine="560"/>
        <w:rPr>
          <w:color w:val="auto"/>
        </w:rPr>
      </w:pPr>
    </w:p>
    <w:p>
      <w:pPr>
        <w:adjustRightInd/>
        <w:spacing w:after="1273" w:line="240" w:lineRule="auto"/>
        <w:ind w:firstLine="560"/>
        <w:jc w:val="center"/>
        <w:rPr>
          <w:rFonts w:ascii="Times New Roman" w:hAnsi="Times New Roman" w:cs="Times New Roman"/>
          <w:color w:val="auto"/>
        </w:rPr>
      </w:pPr>
    </w:p>
    <w:p>
      <w:pPr>
        <w:widowControl w:val="0"/>
        <w:adjustRightInd/>
        <w:ind w:firstLine="0" w:firstLineChars="0"/>
        <w:jc w:val="center"/>
        <w:rPr>
          <w:rFonts w:ascii="方正小标宋简体" w:hAnsi="Times New Roman" w:eastAsia="方正小标宋简体" w:cs="Times New Roman"/>
          <w:color w:val="auto"/>
          <w:sz w:val="36"/>
        </w:rPr>
      </w:pPr>
      <w:r>
        <w:rPr>
          <w:rFonts w:hint="eastAsia" w:ascii="方正小标宋简体" w:hAnsi="Times New Roman" w:eastAsia="方正小标宋简体" w:cs="Times New Roman"/>
          <w:color w:val="auto"/>
          <w:sz w:val="36"/>
        </w:rPr>
        <w:t>二</w:t>
      </w:r>
      <w:r>
        <w:rPr>
          <w:rFonts w:hint="eastAsia" w:ascii="方正小标宋简体" w:hAnsi="Times New Roman" w:eastAsia="华文中宋" w:cs="Times New Roman"/>
          <w:color w:val="auto"/>
          <w:sz w:val="36"/>
        </w:rPr>
        <w:t>〇</w:t>
      </w:r>
      <w:r>
        <w:rPr>
          <w:rFonts w:hint="eastAsia" w:ascii="方正小标宋简体" w:hAnsi="Times New Roman" w:eastAsia="方正小标宋简体" w:cs="Times New Roman"/>
          <w:color w:val="auto"/>
          <w:sz w:val="36"/>
        </w:rPr>
        <w:t>二三年</w:t>
      </w:r>
      <w:r>
        <w:rPr>
          <w:rFonts w:hint="eastAsia" w:ascii="方正小标宋简体" w:hAnsi="Times New Roman" w:eastAsia="方正小标宋简体" w:cs="Times New Roman"/>
          <w:color w:val="auto"/>
          <w:sz w:val="36"/>
          <w:lang w:eastAsia="zh-CN"/>
        </w:rPr>
        <w:t>六</w:t>
      </w:r>
      <w:r>
        <w:rPr>
          <w:rFonts w:hint="eastAsia" w:ascii="方正小标宋简体" w:hAnsi="Times New Roman" w:eastAsia="方正小标宋简体" w:cs="Times New Roman"/>
          <w:color w:val="auto"/>
          <w:sz w:val="36"/>
        </w:rPr>
        <w:t>月</w:t>
      </w:r>
    </w:p>
    <w:p>
      <w:pPr>
        <w:widowControl w:val="0"/>
        <w:adjustRightInd/>
        <w:ind w:firstLine="641"/>
        <w:jc w:val="center"/>
        <w:rPr>
          <w:rFonts w:ascii="Times New Roman" w:hAnsi="Times New Roman" w:eastAsia="华文中宋" w:cs="Times New Roman"/>
          <w:b/>
          <w:color w:val="auto"/>
          <w:sz w:val="32"/>
        </w:rPr>
      </w:pPr>
    </w:p>
    <w:p>
      <w:pPr>
        <w:pStyle w:val="2"/>
      </w:pPr>
    </w:p>
    <w:sdt>
      <w:sdtPr>
        <w:rPr>
          <w:rFonts w:ascii="Times New Roman" w:hAnsi="Times New Roman" w:eastAsia="宋体" w:cs="Times New Roman"/>
          <w:b/>
          <w:bCs/>
          <w:color w:val="auto"/>
          <w:kern w:val="0"/>
          <w:sz w:val="21"/>
        </w:rPr>
        <w:id w:val="147459187"/>
        <w:docPartObj>
          <w:docPartGallery w:val="Table of Contents"/>
          <w:docPartUnique/>
        </w:docPartObj>
      </w:sdtPr>
      <w:sdtEndPr>
        <w:rPr>
          <w:rFonts w:ascii="Times New Roman" w:hAnsi="Times New Roman" w:eastAsia="仿宋_GB2312" w:cs="Times New Roman"/>
          <w:b/>
          <w:bCs/>
          <w:color w:val="auto"/>
          <w:kern w:val="0"/>
          <w:sz w:val="24"/>
          <w:szCs w:val="24"/>
        </w:rPr>
      </w:sdtEndPr>
      <w:sdtContent>
        <w:p>
          <w:pPr>
            <w:spacing w:line="240" w:lineRule="auto"/>
            <w:ind w:firstLine="0" w:firstLineChars="0"/>
            <w:jc w:val="center"/>
            <w:rPr>
              <w:rFonts w:ascii="Times New Roman" w:hAnsi="Times New Roman" w:eastAsia="宋体" w:cs="Times New Roman"/>
              <w:b/>
              <w:bCs/>
              <w:color w:val="auto"/>
              <w:sz w:val="32"/>
              <w:szCs w:val="32"/>
            </w:rPr>
          </w:pPr>
          <w:r>
            <w:rPr>
              <w:rFonts w:ascii="Times New Roman" w:hAnsi="Times New Roman" w:eastAsia="宋体" w:cs="Times New Roman"/>
              <w:b/>
              <w:bCs/>
              <w:color w:val="auto"/>
              <w:sz w:val="32"/>
              <w:szCs w:val="32"/>
            </w:rPr>
            <w:t>目</w:t>
          </w:r>
          <w:r>
            <w:rPr>
              <w:rFonts w:hint="eastAsia" w:ascii="Times New Roman" w:hAnsi="Times New Roman" w:eastAsia="宋体" w:cs="Times New Roman"/>
              <w:b/>
              <w:bCs/>
              <w:color w:val="auto"/>
              <w:sz w:val="32"/>
              <w:szCs w:val="32"/>
            </w:rPr>
            <w:t xml:space="preserve">  </w:t>
          </w:r>
          <w:r>
            <w:rPr>
              <w:rFonts w:ascii="Times New Roman" w:hAnsi="Times New Roman" w:eastAsia="宋体" w:cs="Times New Roman"/>
              <w:b/>
              <w:bCs/>
              <w:color w:val="auto"/>
              <w:sz w:val="32"/>
              <w:szCs w:val="32"/>
            </w:rPr>
            <w:t>录</w:t>
          </w:r>
        </w:p>
        <w:p>
          <w:pPr>
            <w:pStyle w:val="18"/>
            <w:ind w:firstLine="562"/>
            <w:rPr>
              <w:rFonts w:hAnsi="Times New Roman" w:cs="Times New Roman"/>
              <w:color w:val="auto"/>
              <w:szCs w:val="28"/>
            </w:rPr>
          </w:pPr>
        </w:p>
        <w:p>
          <w:pPr>
            <w:pStyle w:val="22"/>
            <w:tabs>
              <w:tab w:val="right" w:leader="middleDot" w:pos="8845"/>
            </w:tabs>
            <w:rPr>
              <w:sz w:val="28"/>
              <w:szCs w:val="28"/>
            </w:rPr>
          </w:pPr>
          <w:r>
            <w:rPr>
              <w:rFonts w:ascii="Times New Roman" w:hAnsi="Times New Roman"/>
              <w:sz w:val="28"/>
              <w:szCs w:val="28"/>
            </w:rPr>
            <w:fldChar w:fldCharType="begin"/>
          </w:r>
          <w:r>
            <w:rPr>
              <w:rFonts w:ascii="Times New Roman" w:hAnsi="Times New Roman"/>
              <w:sz w:val="28"/>
              <w:szCs w:val="28"/>
            </w:rPr>
            <w:instrText xml:space="preserve">TOC \o "1-2" \h \u </w:instrText>
          </w:r>
          <w:r>
            <w:rPr>
              <w:rFonts w:ascii="Times New Roman" w:hAnsi="Times New Roman"/>
              <w:sz w:val="28"/>
              <w:szCs w:val="28"/>
            </w:rPr>
            <w:fldChar w:fldCharType="separate"/>
          </w:r>
          <w:r>
            <w:fldChar w:fldCharType="begin"/>
          </w:r>
          <w:r>
            <w:instrText xml:space="preserve"> HYPERLINK \l "_Toc1580" </w:instrText>
          </w:r>
          <w:r>
            <w:fldChar w:fldCharType="separate"/>
          </w:r>
          <w:r>
            <w:rPr>
              <w:rFonts w:hint="eastAsia" w:ascii="Times New Roman" w:hAnsi="Times New Roman" w:eastAsia="黑体"/>
              <w:kern w:val="44"/>
              <w:sz w:val="28"/>
              <w:szCs w:val="28"/>
            </w:rPr>
            <w:t>1</w:t>
          </w:r>
          <w:r>
            <w:rPr>
              <w:rFonts w:ascii="Times New Roman" w:hAnsi="Times New Roman" w:eastAsia="黑体"/>
              <w:kern w:val="44"/>
              <w:sz w:val="28"/>
              <w:szCs w:val="28"/>
              <w:lang w:val="en-GB"/>
            </w:rPr>
            <w:t>总则</w:t>
          </w:r>
          <w:r>
            <w:rPr>
              <w:sz w:val="28"/>
              <w:szCs w:val="28"/>
            </w:rPr>
            <w:tab/>
          </w:r>
          <w:r>
            <w:rPr>
              <w:sz w:val="28"/>
              <w:szCs w:val="28"/>
            </w:rPr>
            <w:fldChar w:fldCharType="begin"/>
          </w:r>
          <w:r>
            <w:rPr>
              <w:sz w:val="28"/>
              <w:szCs w:val="28"/>
            </w:rPr>
            <w:instrText xml:space="preserve"> PAGEREF _Toc1580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"_Toc5386" </w:instrText>
          </w:r>
          <w:r>
            <w:fldChar w:fldCharType="separate"/>
          </w:r>
          <w:r>
            <w:rPr>
              <w:rFonts w:ascii="Times New Roman" w:hAnsi="Times New Roman" w:eastAsia="华文楷体"/>
              <w:sz w:val="28"/>
              <w:szCs w:val="28"/>
            </w:rPr>
            <w:t>1.1规划背景</w:t>
          </w:r>
          <w:r>
            <w:rPr>
              <w:sz w:val="28"/>
              <w:szCs w:val="28"/>
            </w:rPr>
            <w:tab/>
          </w:r>
          <w:r>
            <w:rPr>
              <w:sz w:val="28"/>
              <w:szCs w:val="28"/>
            </w:rPr>
            <w:fldChar w:fldCharType="begin"/>
          </w:r>
          <w:r>
            <w:rPr>
              <w:sz w:val="28"/>
              <w:szCs w:val="28"/>
            </w:rPr>
            <w:instrText xml:space="preserve"> PAGEREF _Toc5386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"_Toc9073" </w:instrText>
          </w:r>
          <w:r>
            <w:fldChar w:fldCharType="separate"/>
          </w:r>
          <w:r>
            <w:rPr>
              <w:rFonts w:ascii="Times New Roman" w:hAnsi="Times New Roman" w:eastAsia="华文楷体"/>
              <w:sz w:val="28"/>
              <w:szCs w:val="28"/>
            </w:rPr>
            <w:t>1.2编制依据</w:t>
          </w:r>
          <w:r>
            <w:rPr>
              <w:sz w:val="28"/>
              <w:szCs w:val="28"/>
            </w:rPr>
            <w:tab/>
          </w:r>
          <w:r>
            <w:rPr>
              <w:sz w:val="28"/>
              <w:szCs w:val="28"/>
            </w:rPr>
            <w:fldChar w:fldCharType="begin"/>
          </w:r>
          <w:r>
            <w:rPr>
              <w:sz w:val="28"/>
              <w:szCs w:val="28"/>
            </w:rPr>
            <w:instrText xml:space="preserve"> PAGEREF _Toc9073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"_Toc2215" </w:instrText>
          </w:r>
          <w:r>
            <w:fldChar w:fldCharType="separate"/>
          </w:r>
          <w:r>
            <w:rPr>
              <w:rFonts w:ascii="Times New Roman" w:hAnsi="Times New Roman" w:eastAsia="华文楷体"/>
              <w:sz w:val="28"/>
              <w:szCs w:val="28"/>
            </w:rPr>
            <w:t>1.3规划期限和范围</w:t>
          </w:r>
          <w:r>
            <w:rPr>
              <w:sz w:val="28"/>
              <w:szCs w:val="28"/>
            </w:rPr>
            <w:tab/>
          </w:r>
          <w:r>
            <w:rPr>
              <w:sz w:val="28"/>
              <w:szCs w:val="28"/>
            </w:rPr>
            <w:fldChar w:fldCharType="begin"/>
          </w:r>
          <w:r>
            <w:rPr>
              <w:sz w:val="28"/>
              <w:szCs w:val="28"/>
            </w:rPr>
            <w:instrText xml:space="preserve"> PAGEREF _Toc2215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"_Toc9075" </w:instrText>
          </w:r>
          <w:r>
            <w:fldChar w:fldCharType="separate"/>
          </w:r>
          <w:r>
            <w:rPr>
              <w:rFonts w:ascii="Times New Roman" w:hAnsi="Times New Roman" w:eastAsia="华文楷体"/>
              <w:sz w:val="28"/>
              <w:szCs w:val="28"/>
            </w:rPr>
            <w:t>1.4规模认定</w:t>
          </w:r>
          <w:r>
            <w:rPr>
              <w:sz w:val="28"/>
              <w:szCs w:val="28"/>
            </w:rPr>
            <w:tab/>
          </w:r>
          <w:r>
            <w:rPr>
              <w:sz w:val="28"/>
              <w:szCs w:val="28"/>
            </w:rPr>
            <w:fldChar w:fldCharType="begin"/>
          </w:r>
          <w:r>
            <w:rPr>
              <w:sz w:val="28"/>
              <w:szCs w:val="28"/>
            </w:rPr>
            <w:instrText xml:space="preserve"> PAGEREF _Toc9075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22"/>
            <w:tabs>
              <w:tab w:val="right" w:leader="middleDot" w:pos="8845"/>
            </w:tabs>
            <w:rPr>
              <w:sz w:val="28"/>
              <w:szCs w:val="28"/>
            </w:rPr>
          </w:pPr>
          <w:r>
            <w:fldChar w:fldCharType="begin"/>
          </w:r>
          <w:r>
            <w:instrText xml:space="preserve"> HYPERLINK \l "_Toc16566" </w:instrText>
          </w:r>
          <w:r>
            <w:fldChar w:fldCharType="separate"/>
          </w:r>
          <w:r>
            <w:rPr>
              <w:rFonts w:hint="eastAsia" w:ascii="Times New Roman" w:hAnsi="Times New Roman" w:eastAsia="黑体"/>
              <w:kern w:val="44"/>
              <w:sz w:val="28"/>
              <w:szCs w:val="28"/>
            </w:rPr>
            <w:t>2</w:t>
          </w:r>
          <w:r>
            <w:rPr>
              <w:rFonts w:ascii="Times New Roman" w:hAnsi="Times New Roman" w:eastAsia="黑体"/>
              <w:kern w:val="44"/>
              <w:sz w:val="28"/>
              <w:szCs w:val="28"/>
              <w:lang w:val="en-GB"/>
            </w:rPr>
            <w:t>区域概况</w:t>
          </w:r>
          <w:r>
            <w:rPr>
              <w:sz w:val="28"/>
              <w:szCs w:val="28"/>
            </w:rPr>
            <w:tab/>
          </w:r>
          <w:r>
            <w:rPr>
              <w:sz w:val="28"/>
              <w:szCs w:val="28"/>
            </w:rPr>
            <w:fldChar w:fldCharType="begin"/>
          </w:r>
          <w:r>
            <w:rPr>
              <w:sz w:val="28"/>
              <w:szCs w:val="28"/>
            </w:rPr>
            <w:instrText xml:space="preserve"> PAGEREF _Toc16566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"_Toc31023" </w:instrText>
          </w:r>
          <w:r>
            <w:fldChar w:fldCharType="separate"/>
          </w:r>
          <w:r>
            <w:rPr>
              <w:rFonts w:ascii="Times New Roman" w:hAnsi="Times New Roman" w:eastAsia="华文楷体"/>
              <w:sz w:val="28"/>
              <w:szCs w:val="28"/>
            </w:rPr>
            <w:t>2.1自然条件概况</w:t>
          </w:r>
          <w:r>
            <w:rPr>
              <w:sz w:val="28"/>
              <w:szCs w:val="28"/>
            </w:rPr>
            <w:tab/>
          </w:r>
          <w:r>
            <w:rPr>
              <w:sz w:val="28"/>
              <w:szCs w:val="28"/>
            </w:rPr>
            <w:fldChar w:fldCharType="begin"/>
          </w:r>
          <w:r>
            <w:rPr>
              <w:sz w:val="28"/>
              <w:szCs w:val="28"/>
            </w:rPr>
            <w:instrText xml:space="preserve"> PAGEREF _Toc31023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"_Toc21356" </w:instrText>
          </w:r>
          <w:r>
            <w:fldChar w:fldCharType="separate"/>
          </w:r>
          <w:r>
            <w:rPr>
              <w:rFonts w:ascii="Times New Roman" w:hAnsi="Times New Roman" w:eastAsia="华文楷体"/>
              <w:sz w:val="28"/>
              <w:szCs w:val="28"/>
            </w:rPr>
            <w:t>2.2社会经济概况</w:t>
          </w:r>
          <w:r>
            <w:rPr>
              <w:sz w:val="28"/>
              <w:szCs w:val="28"/>
            </w:rPr>
            <w:tab/>
          </w:r>
          <w:r>
            <w:rPr>
              <w:sz w:val="28"/>
              <w:szCs w:val="28"/>
            </w:rPr>
            <w:fldChar w:fldCharType="begin"/>
          </w:r>
          <w:r>
            <w:rPr>
              <w:sz w:val="28"/>
              <w:szCs w:val="28"/>
            </w:rPr>
            <w:instrText xml:space="preserve"> PAGEREF _Toc21356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"_Toc23657" </w:instrText>
          </w:r>
          <w:r>
            <w:fldChar w:fldCharType="separate"/>
          </w:r>
          <w:r>
            <w:rPr>
              <w:rFonts w:ascii="Times New Roman" w:hAnsi="Times New Roman" w:eastAsia="华文楷体"/>
              <w:sz w:val="28"/>
              <w:szCs w:val="28"/>
            </w:rPr>
            <w:t>2.3生态环境概况</w:t>
          </w:r>
          <w:r>
            <w:rPr>
              <w:sz w:val="28"/>
              <w:szCs w:val="28"/>
            </w:rPr>
            <w:tab/>
          </w:r>
          <w:r>
            <w:rPr>
              <w:sz w:val="28"/>
              <w:szCs w:val="28"/>
            </w:rPr>
            <w:fldChar w:fldCharType="begin"/>
          </w:r>
          <w:r>
            <w:rPr>
              <w:sz w:val="28"/>
              <w:szCs w:val="28"/>
            </w:rPr>
            <w:instrText xml:space="preserve"> PAGEREF _Toc23657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"_Toc21060" </w:instrText>
          </w:r>
          <w:r>
            <w:fldChar w:fldCharType="separate"/>
          </w:r>
          <w:r>
            <w:rPr>
              <w:rFonts w:ascii="Times New Roman" w:hAnsi="Times New Roman" w:eastAsia="华文楷体"/>
              <w:sz w:val="28"/>
              <w:szCs w:val="28"/>
            </w:rPr>
            <w:t>2.4养殖污染防治现状</w:t>
          </w:r>
          <w:r>
            <w:rPr>
              <w:sz w:val="28"/>
              <w:szCs w:val="28"/>
            </w:rPr>
            <w:tab/>
          </w:r>
          <w:r>
            <w:rPr>
              <w:sz w:val="28"/>
              <w:szCs w:val="28"/>
            </w:rPr>
            <w:fldChar w:fldCharType="begin"/>
          </w:r>
          <w:r>
            <w:rPr>
              <w:sz w:val="28"/>
              <w:szCs w:val="28"/>
            </w:rPr>
            <w:instrText xml:space="preserve"> PAGEREF _Toc21060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22"/>
            <w:tabs>
              <w:tab w:val="right" w:leader="middleDot" w:pos="8845"/>
            </w:tabs>
            <w:rPr>
              <w:sz w:val="28"/>
              <w:szCs w:val="28"/>
            </w:rPr>
          </w:pPr>
          <w:r>
            <w:fldChar w:fldCharType="begin"/>
          </w:r>
          <w:r>
            <w:instrText xml:space="preserve"> HYPERLINK \l "_Toc30322" </w:instrText>
          </w:r>
          <w:r>
            <w:fldChar w:fldCharType="separate"/>
          </w:r>
          <w:r>
            <w:rPr>
              <w:rFonts w:hint="eastAsia" w:ascii="Times New Roman" w:hAnsi="Times New Roman" w:eastAsia="黑体"/>
              <w:kern w:val="44"/>
              <w:sz w:val="28"/>
              <w:szCs w:val="28"/>
            </w:rPr>
            <w:t>3</w:t>
          </w:r>
          <w:r>
            <w:rPr>
              <w:rFonts w:ascii="Times New Roman" w:hAnsi="Times New Roman" w:eastAsia="黑体"/>
              <w:kern w:val="44"/>
              <w:sz w:val="28"/>
              <w:szCs w:val="28"/>
              <w:lang w:val="en-GB"/>
            </w:rPr>
            <w:t>规划目标指标</w:t>
          </w:r>
          <w:r>
            <w:rPr>
              <w:sz w:val="28"/>
              <w:szCs w:val="28"/>
            </w:rPr>
            <w:tab/>
          </w:r>
          <w:r>
            <w:rPr>
              <w:sz w:val="28"/>
              <w:szCs w:val="28"/>
            </w:rPr>
            <w:fldChar w:fldCharType="begin"/>
          </w:r>
          <w:r>
            <w:rPr>
              <w:sz w:val="28"/>
              <w:szCs w:val="28"/>
            </w:rPr>
            <w:instrText xml:space="preserve"> PAGEREF _Toc30322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"_Toc4121" </w:instrText>
          </w:r>
          <w:r>
            <w:fldChar w:fldCharType="separate"/>
          </w:r>
          <w:r>
            <w:rPr>
              <w:rFonts w:ascii="Times New Roman" w:hAnsi="Times New Roman" w:eastAsia="华文楷体"/>
              <w:sz w:val="28"/>
              <w:szCs w:val="28"/>
            </w:rPr>
            <w:t>3.1规划目标与指标</w:t>
          </w:r>
          <w:r>
            <w:rPr>
              <w:sz w:val="28"/>
              <w:szCs w:val="28"/>
            </w:rPr>
            <w:tab/>
          </w:r>
          <w:r>
            <w:rPr>
              <w:sz w:val="28"/>
              <w:szCs w:val="28"/>
            </w:rPr>
            <w:fldChar w:fldCharType="begin"/>
          </w:r>
          <w:r>
            <w:rPr>
              <w:sz w:val="28"/>
              <w:szCs w:val="28"/>
            </w:rPr>
            <w:instrText xml:space="preserve"> PAGEREF _Toc4121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"_Toc10813" </w:instrText>
          </w:r>
          <w:r>
            <w:fldChar w:fldCharType="separate"/>
          </w:r>
          <w:r>
            <w:rPr>
              <w:rFonts w:ascii="Times New Roman" w:hAnsi="Times New Roman" w:eastAsia="华文楷体"/>
              <w:sz w:val="28"/>
              <w:szCs w:val="28"/>
            </w:rPr>
            <w:t>3.2畜禽粪污环境承载力分析</w:t>
          </w:r>
          <w:r>
            <w:rPr>
              <w:sz w:val="28"/>
              <w:szCs w:val="28"/>
            </w:rPr>
            <w:tab/>
          </w:r>
          <w:r>
            <w:rPr>
              <w:sz w:val="28"/>
              <w:szCs w:val="28"/>
            </w:rPr>
            <w:fldChar w:fldCharType="begin"/>
          </w:r>
          <w:r>
            <w:rPr>
              <w:sz w:val="28"/>
              <w:szCs w:val="28"/>
            </w:rPr>
            <w:instrText xml:space="preserve"> PAGEREF _Toc10813 \h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"_Toc31096" </w:instrText>
          </w:r>
          <w:r>
            <w:fldChar w:fldCharType="separate"/>
          </w:r>
          <w:r>
            <w:rPr>
              <w:rFonts w:ascii="Times New Roman" w:hAnsi="Times New Roman" w:eastAsia="华文楷体"/>
              <w:sz w:val="28"/>
              <w:szCs w:val="28"/>
            </w:rPr>
            <w:t>3.3目标可达性分析</w:t>
          </w:r>
          <w:r>
            <w:rPr>
              <w:sz w:val="28"/>
              <w:szCs w:val="28"/>
            </w:rPr>
            <w:tab/>
          </w:r>
          <w:r>
            <w:rPr>
              <w:sz w:val="28"/>
              <w:szCs w:val="28"/>
            </w:rPr>
            <w:fldChar w:fldCharType="begin"/>
          </w:r>
          <w:r>
            <w:rPr>
              <w:sz w:val="28"/>
              <w:szCs w:val="28"/>
            </w:rPr>
            <w:instrText xml:space="preserve"> PAGEREF _Toc31096 \h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22"/>
            <w:tabs>
              <w:tab w:val="right" w:leader="middleDot" w:pos="8845"/>
            </w:tabs>
            <w:rPr>
              <w:sz w:val="28"/>
              <w:szCs w:val="28"/>
            </w:rPr>
          </w:pPr>
          <w:r>
            <w:fldChar w:fldCharType="begin"/>
          </w:r>
          <w:r>
            <w:instrText xml:space="preserve"> HYPERLINK \l "_Toc31231" </w:instrText>
          </w:r>
          <w:r>
            <w:fldChar w:fldCharType="separate"/>
          </w:r>
          <w:r>
            <w:rPr>
              <w:rFonts w:hint="eastAsia" w:ascii="Times New Roman" w:hAnsi="Times New Roman" w:eastAsia="黑体"/>
              <w:kern w:val="44"/>
              <w:sz w:val="28"/>
              <w:szCs w:val="28"/>
            </w:rPr>
            <w:t>4</w:t>
          </w:r>
          <w:r>
            <w:rPr>
              <w:rFonts w:ascii="Times New Roman" w:hAnsi="Times New Roman" w:eastAsia="黑体"/>
              <w:kern w:val="44"/>
              <w:sz w:val="28"/>
              <w:szCs w:val="28"/>
              <w:lang w:val="en-GB"/>
            </w:rPr>
            <w:t>畜禽养殖污染防治主要任务</w:t>
          </w:r>
          <w:r>
            <w:rPr>
              <w:sz w:val="28"/>
              <w:szCs w:val="28"/>
            </w:rPr>
            <w:tab/>
          </w:r>
          <w:r>
            <w:rPr>
              <w:sz w:val="28"/>
              <w:szCs w:val="28"/>
            </w:rPr>
            <w:fldChar w:fldCharType="begin"/>
          </w:r>
          <w:r>
            <w:rPr>
              <w:sz w:val="28"/>
              <w:szCs w:val="28"/>
            </w:rPr>
            <w:instrText xml:space="preserve"> PAGEREF _Toc31231 \h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"_Toc6195" </w:instrText>
          </w:r>
          <w:r>
            <w:fldChar w:fldCharType="separate"/>
          </w:r>
          <w:r>
            <w:rPr>
              <w:rFonts w:ascii="Times New Roman" w:hAnsi="Times New Roman" w:eastAsia="华文楷体"/>
              <w:sz w:val="28"/>
              <w:szCs w:val="28"/>
            </w:rPr>
            <w:t>4.1坚持分区</w:t>
          </w:r>
          <w:r>
            <w:rPr>
              <w:rFonts w:hint="eastAsia" w:ascii="Times New Roman" w:hAnsi="Times New Roman" w:eastAsia="华文楷体"/>
              <w:sz w:val="28"/>
              <w:szCs w:val="28"/>
            </w:rPr>
            <w:t>准入</w:t>
          </w:r>
          <w:r>
            <w:rPr>
              <w:rFonts w:ascii="Times New Roman" w:hAnsi="Times New Roman" w:eastAsia="华文楷体"/>
              <w:sz w:val="28"/>
              <w:szCs w:val="28"/>
            </w:rPr>
            <w:t>管理，</w:t>
          </w:r>
          <w:r>
            <w:rPr>
              <w:rFonts w:hint="eastAsia" w:ascii="Times New Roman" w:hAnsi="Times New Roman" w:eastAsia="华文楷体"/>
              <w:sz w:val="28"/>
              <w:szCs w:val="28"/>
            </w:rPr>
            <w:t>优化畜禽养殖业结构布局</w:t>
          </w:r>
          <w:r>
            <w:rPr>
              <w:sz w:val="28"/>
              <w:szCs w:val="28"/>
            </w:rPr>
            <w:tab/>
          </w:r>
          <w:r>
            <w:rPr>
              <w:sz w:val="28"/>
              <w:szCs w:val="28"/>
            </w:rPr>
            <w:fldChar w:fldCharType="begin"/>
          </w:r>
          <w:r>
            <w:rPr>
              <w:sz w:val="28"/>
              <w:szCs w:val="28"/>
            </w:rPr>
            <w:instrText xml:space="preserve"> PAGEREF _Toc6195 \h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"_Toc24301" </w:instrText>
          </w:r>
          <w:r>
            <w:fldChar w:fldCharType="separate"/>
          </w:r>
          <w:r>
            <w:rPr>
              <w:rFonts w:ascii="Times New Roman" w:hAnsi="Times New Roman" w:eastAsia="华文楷体"/>
              <w:sz w:val="28"/>
              <w:szCs w:val="28"/>
            </w:rPr>
            <w:t>4.2坚持</w:t>
          </w:r>
          <w:r>
            <w:rPr>
              <w:rFonts w:hint="eastAsia" w:ascii="Times New Roman" w:hAnsi="Times New Roman" w:eastAsia="华文楷体"/>
              <w:sz w:val="28"/>
              <w:szCs w:val="28"/>
            </w:rPr>
            <w:t>种养结合发展</w:t>
          </w:r>
          <w:r>
            <w:rPr>
              <w:rFonts w:ascii="Times New Roman" w:hAnsi="Times New Roman" w:eastAsia="华文楷体"/>
              <w:sz w:val="28"/>
              <w:szCs w:val="28"/>
            </w:rPr>
            <w:t>，提升粪污资源化利用水平</w:t>
          </w:r>
          <w:r>
            <w:rPr>
              <w:sz w:val="28"/>
              <w:szCs w:val="28"/>
            </w:rPr>
            <w:tab/>
          </w:r>
          <w:r>
            <w:rPr>
              <w:sz w:val="28"/>
              <w:szCs w:val="28"/>
            </w:rPr>
            <w:fldChar w:fldCharType="begin"/>
          </w:r>
          <w:r>
            <w:rPr>
              <w:sz w:val="28"/>
              <w:szCs w:val="28"/>
            </w:rPr>
            <w:instrText xml:space="preserve"> PAGEREF _Toc24301 \h </w:instrText>
          </w:r>
          <w:r>
            <w:rPr>
              <w:sz w:val="28"/>
              <w:szCs w:val="28"/>
            </w:rPr>
            <w:fldChar w:fldCharType="separate"/>
          </w:r>
          <w:r>
            <w:rPr>
              <w:sz w:val="28"/>
              <w:szCs w:val="28"/>
            </w:rPr>
            <w:t>56</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"_Toc25773" </w:instrText>
          </w:r>
          <w:r>
            <w:fldChar w:fldCharType="separate"/>
          </w:r>
          <w:r>
            <w:rPr>
              <w:rFonts w:ascii="Times New Roman" w:hAnsi="Times New Roman" w:eastAsia="华文楷体"/>
              <w:sz w:val="28"/>
              <w:szCs w:val="28"/>
            </w:rPr>
            <w:t>4.3</w:t>
          </w:r>
          <w:r>
            <w:rPr>
              <w:rFonts w:hint="eastAsia" w:ascii="Times New Roman" w:hAnsi="Times New Roman" w:eastAsia="华文楷体"/>
              <w:sz w:val="28"/>
              <w:szCs w:val="28"/>
            </w:rPr>
            <w:t>坚持粪污综合治理，提升</w:t>
          </w:r>
          <w:r>
            <w:rPr>
              <w:rFonts w:ascii="Times New Roman" w:hAnsi="Times New Roman" w:eastAsia="华文楷体"/>
              <w:sz w:val="28"/>
              <w:szCs w:val="28"/>
            </w:rPr>
            <w:t>粪污处理和利用设施</w:t>
          </w:r>
          <w:r>
            <w:rPr>
              <w:sz w:val="28"/>
              <w:szCs w:val="28"/>
            </w:rPr>
            <w:tab/>
          </w:r>
          <w:r>
            <w:rPr>
              <w:sz w:val="28"/>
              <w:szCs w:val="28"/>
            </w:rPr>
            <w:fldChar w:fldCharType="begin"/>
          </w:r>
          <w:r>
            <w:rPr>
              <w:sz w:val="28"/>
              <w:szCs w:val="28"/>
            </w:rPr>
            <w:instrText xml:space="preserve"> PAGEREF _Toc25773 \h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"_Toc19416" </w:instrText>
          </w:r>
          <w:r>
            <w:fldChar w:fldCharType="separate"/>
          </w:r>
          <w:r>
            <w:rPr>
              <w:rFonts w:ascii="Times New Roman" w:hAnsi="Times New Roman" w:eastAsia="华文楷体"/>
              <w:sz w:val="28"/>
              <w:szCs w:val="28"/>
            </w:rPr>
            <w:t>4.4完善台账管理制度，</w:t>
          </w:r>
          <w:r>
            <w:rPr>
              <w:rFonts w:hint="eastAsia" w:ascii="Times New Roman" w:hAnsi="Times New Roman" w:eastAsia="华文楷体"/>
              <w:sz w:val="28"/>
              <w:szCs w:val="28"/>
            </w:rPr>
            <w:t>逐步</w:t>
          </w:r>
          <w:r>
            <w:rPr>
              <w:rFonts w:ascii="Times New Roman" w:hAnsi="Times New Roman" w:eastAsia="华文楷体"/>
              <w:sz w:val="28"/>
              <w:szCs w:val="28"/>
            </w:rPr>
            <w:t>推进</w:t>
          </w:r>
          <w:r>
            <w:rPr>
              <w:rFonts w:hint="eastAsia" w:ascii="Times New Roman" w:hAnsi="Times New Roman" w:eastAsia="华文楷体"/>
              <w:sz w:val="28"/>
              <w:szCs w:val="28"/>
            </w:rPr>
            <w:t>粪污防治动态管理</w:t>
          </w:r>
          <w:r>
            <w:rPr>
              <w:sz w:val="28"/>
              <w:szCs w:val="28"/>
            </w:rPr>
            <w:tab/>
          </w:r>
          <w:r>
            <w:rPr>
              <w:sz w:val="28"/>
              <w:szCs w:val="28"/>
            </w:rPr>
            <w:fldChar w:fldCharType="begin"/>
          </w:r>
          <w:r>
            <w:rPr>
              <w:sz w:val="28"/>
              <w:szCs w:val="28"/>
            </w:rPr>
            <w:instrText xml:space="preserve"> PAGEREF _Toc19416 \h </w:instrText>
          </w:r>
          <w:r>
            <w:rPr>
              <w:sz w:val="28"/>
              <w:szCs w:val="28"/>
            </w:rPr>
            <w:fldChar w:fldCharType="separate"/>
          </w:r>
          <w:r>
            <w:rPr>
              <w:sz w:val="28"/>
              <w:szCs w:val="28"/>
            </w:rPr>
            <w:t>60</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"_Toc23170" </w:instrText>
          </w:r>
          <w:r>
            <w:fldChar w:fldCharType="separate"/>
          </w:r>
          <w:r>
            <w:rPr>
              <w:rFonts w:ascii="Times New Roman" w:hAnsi="Times New Roman" w:eastAsia="华文楷体"/>
              <w:sz w:val="28"/>
              <w:szCs w:val="28"/>
            </w:rPr>
            <w:t>4.5</w:t>
          </w:r>
          <w:r>
            <w:rPr>
              <w:rFonts w:hint="eastAsia" w:ascii="Times New Roman" w:hAnsi="Times New Roman" w:eastAsia="华文楷体"/>
              <w:sz w:val="28"/>
              <w:szCs w:val="28"/>
            </w:rPr>
            <w:t>落实养殖主体责任，</w:t>
          </w:r>
          <w:r>
            <w:rPr>
              <w:rFonts w:ascii="Times New Roman" w:hAnsi="Times New Roman" w:eastAsia="华文楷体"/>
              <w:sz w:val="28"/>
              <w:szCs w:val="28"/>
            </w:rPr>
            <w:t>强化畜禽养殖</w:t>
          </w:r>
          <w:r>
            <w:rPr>
              <w:rFonts w:hint="eastAsia" w:ascii="Times New Roman" w:hAnsi="Times New Roman" w:eastAsia="华文楷体"/>
              <w:sz w:val="28"/>
              <w:szCs w:val="28"/>
            </w:rPr>
            <w:t>业</w:t>
          </w:r>
          <w:r>
            <w:rPr>
              <w:rFonts w:ascii="Times New Roman" w:hAnsi="Times New Roman" w:eastAsia="华文楷体"/>
              <w:sz w:val="28"/>
              <w:szCs w:val="28"/>
            </w:rPr>
            <w:t>环境监管</w:t>
          </w:r>
          <w:r>
            <w:rPr>
              <w:sz w:val="28"/>
              <w:szCs w:val="28"/>
            </w:rPr>
            <w:tab/>
          </w:r>
          <w:r>
            <w:rPr>
              <w:sz w:val="28"/>
              <w:szCs w:val="28"/>
            </w:rPr>
            <w:fldChar w:fldCharType="begin"/>
          </w:r>
          <w:r>
            <w:rPr>
              <w:sz w:val="28"/>
              <w:szCs w:val="28"/>
            </w:rPr>
            <w:instrText xml:space="preserve"> PAGEREF _Toc23170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22"/>
            <w:tabs>
              <w:tab w:val="right" w:leader="middleDot" w:pos="8845"/>
            </w:tabs>
            <w:rPr>
              <w:sz w:val="28"/>
              <w:szCs w:val="28"/>
            </w:rPr>
          </w:pPr>
          <w:r>
            <w:fldChar w:fldCharType="begin"/>
          </w:r>
          <w:r>
            <w:instrText xml:space="preserve"> HYPERLINK \l "_Toc6582" </w:instrText>
          </w:r>
          <w:r>
            <w:fldChar w:fldCharType="separate"/>
          </w:r>
          <w:r>
            <w:rPr>
              <w:rFonts w:hint="eastAsia" w:ascii="Times New Roman" w:hAnsi="Times New Roman" w:eastAsia="黑体"/>
              <w:kern w:val="44"/>
              <w:sz w:val="28"/>
              <w:szCs w:val="28"/>
            </w:rPr>
            <w:t>5</w:t>
          </w:r>
          <w:r>
            <w:rPr>
              <w:rFonts w:ascii="Times New Roman" w:hAnsi="Times New Roman" w:eastAsia="黑体"/>
              <w:kern w:val="44"/>
              <w:sz w:val="28"/>
              <w:szCs w:val="28"/>
              <w:lang w:val="en-GB"/>
            </w:rPr>
            <w:t>重点工程</w:t>
          </w:r>
          <w:r>
            <w:rPr>
              <w:rFonts w:hint="eastAsia" w:ascii="Times New Roman" w:hAnsi="Times New Roman" w:eastAsia="黑体"/>
              <w:kern w:val="44"/>
              <w:sz w:val="28"/>
              <w:szCs w:val="28"/>
            </w:rPr>
            <w:t>与资金筹措</w:t>
          </w:r>
          <w:r>
            <w:rPr>
              <w:sz w:val="28"/>
              <w:szCs w:val="28"/>
            </w:rPr>
            <w:tab/>
          </w:r>
          <w:r>
            <w:rPr>
              <w:sz w:val="28"/>
              <w:szCs w:val="28"/>
            </w:rPr>
            <w:fldChar w:fldCharType="begin"/>
          </w:r>
          <w:r>
            <w:rPr>
              <w:sz w:val="28"/>
              <w:szCs w:val="28"/>
            </w:rPr>
            <w:instrText xml:space="preserve"> PAGEREF _Toc6582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"_Toc13173" </w:instrText>
          </w:r>
          <w:r>
            <w:fldChar w:fldCharType="separate"/>
          </w:r>
          <w:r>
            <w:rPr>
              <w:rFonts w:ascii="Times New Roman" w:hAnsi="Times New Roman" w:eastAsia="华文楷体"/>
              <w:sz w:val="28"/>
              <w:szCs w:val="28"/>
            </w:rPr>
            <w:t>5.</w:t>
          </w:r>
          <w:r>
            <w:rPr>
              <w:rFonts w:hint="eastAsia" w:ascii="Times New Roman" w:hAnsi="Times New Roman" w:eastAsia="华文楷体"/>
              <w:sz w:val="28"/>
              <w:szCs w:val="28"/>
            </w:rPr>
            <w:t>1重点工程</w:t>
          </w:r>
          <w:r>
            <w:rPr>
              <w:sz w:val="28"/>
              <w:szCs w:val="28"/>
            </w:rPr>
            <w:tab/>
          </w:r>
          <w:r>
            <w:rPr>
              <w:sz w:val="28"/>
              <w:szCs w:val="28"/>
            </w:rPr>
            <w:fldChar w:fldCharType="begin"/>
          </w:r>
          <w:r>
            <w:rPr>
              <w:sz w:val="28"/>
              <w:szCs w:val="28"/>
            </w:rPr>
            <w:instrText xml:space="preserve"> PAGEREF _Toc13173 \h </w:instrText>
          </w:r>
          <w:r>
            <w:rPr>
              <w:sz w:val="28"/>
              <w:szCs w:val="28"/>
            </w:rPr>
            <w:fldChar w:fldCharType="separate"/>
          </w:r>
          <w:r>
            <w:rPr>
              <w:sz w:val="28"/>
              <w:szCs w:val="28"/>
            </w:rPr>
            <w:t>63</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"_Toc21845" </w:instrText>
          </w:r>
          <w:r>
            <w:fldChar w:fldCharType="separate"/>
          </w:r>
          <w:r>
            <w:rPr>
              <w:rFonts w:hint="eastAsia" w:ascii="Times New Roman" w:hAnsi="Times New Roman" w:eastAsia="华文楷体"/>
              <w:sz w:val="28"/>
              <w:szCs w:val="28"/>
            </w:rPr>
            <w:t>5.2投资估算</w:t>
          </w:r>
          <w:r>
            <w:rPr>
              <w:sz w:val="28"/>
              <w:szCs w:val="28"/>
            </w:rPr>
            <w:tab/>
          </w:r>
          <w:r>
            <w:rPr>
              <w:sz w:val="28"/>
              <w:szCs w:val="28"/>
            </w:rPr>
            <w:fldChar w:fldCharType="begin"/>
          </w:r>
          <w:r>
            <w:rPr>
              <w:sz w:val="28"/>
              <w:szCs w:val="28"/>
            </w:rPr>
            <w:instrText xml:space="preserve"> PAGEREF _Toc21845 \h </w:instrText>
          </w:r>
          <w:r>
            <w:rPr>
              <w:sz w:val="28"/>
              <w:szCs w:val="28"/>
            </w:rPr>
            <w:fldChar w:fldCharType="separate"/>
          </w:r>
          <w:r>
            <w:rPr>
              <w:sz w:val="28"/>
              <w:szCs w:val="28"/>
            </w:rPr>
            <w:t>63</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"_Toc716" </w:instrText>
          </w:r>
          <w:r>
            <w:fldChar w:fldCharType="separate"/>
          </w:r>
          <w:r>
            <w:rPr>
              <w:rFonts w:hint="eastAsia" w:ascii="Times New Roman" w:hAnsi="Times New Roman" w:eastAsia="华文楷体"/>
              <w:sz w:val="28"/>
              <w:szCs w:val="28"/>
            </w:rPr>
            <w:t>5.3资金筹措</w:t>
          </w:r>
          <w:r>
            <w:rPr>
              <w:sz w:val="28"/>
              <w:szCs w:val="28"/>
            </w:rPr>
            <w:tab/>
          </w:r>
          <w:r>
            <w:rPr>
              <w:sz w:val="28"/>
              <w:szCs w:val="28"/>
            </w:rPr>
            <w:fldChar w:fldCharType="begin"/>
          </w:r>
          <w:r>
            <w:rPr>
              <w:sz w:val="28"/>
              <w:szCs w:val="28"/>
            </w:rPr>
            <w:instrText xml:space="preserve"> PAGEREF _Toc716 \h </w:instrText>
          </w:r>
          <w:r>
            <w:rPr>
              <w:sz w:val="28"/>
              <w:szCs w:val="28"/>
            </w:rPr>
            <w:fldChar w:fldCharType="separate"/>
          </w:r>
          <w:r>
            <w:rPr>
              <w:sz w:val="28"/>
              <w:szCs w:val="28"/>
            </w:rPr>
            <w:t>64</w:t>
          </w:r>
          <w:r>
            <w:rPr>
              <w:sz w:val="28"/>
              <w:szCs w:val="28"/>
            </w:rPr>
            <w:fldChar w:fldCharType="end"/>
          </w:r>
          <w:r>
            <w:rPr>
              <w:sz w:val="28"/>
              <w:szCs w:val="28"/>
            </w:rPr>
            <w:fldChar w:fldCharType="end"/>
          </w:r>
        </w:p>
        <w:p>
          <w:pPr>
            <w:pStyle w:val="22"/>
            <w:tabs>
              <w:tab w:val="right" w:leader="middleDot" w:pos="8845"/>
            </w:tabs>
            <w:rPr>
              <w:sz w:val="28"/>
              <w:szCs w:val="28"/>
            </w:rPr>
          </w:pPr>
          <w:r>
            <w:fldChar w:fldCharType="begin"/>
          </w:r>
          <w:r>
            <w:instrText xml:space="preserve"> HYPERLINK \l "_Toc24527" </w:instrText>
          </w:r>
          <w:r>
            <w:fldChar w:fldCharType="separate"/>
          </w:r>
          <w:r>
            <w:rPr>
              <w:rFonts w:hint="eastAsia" w:ascii="Times New Roman" w:hAnsi="Times New Roman" w:eastAsia="黑体"/>
              <w:kern w:val="44"/>
              <w:sz w:val="28"/>
              <w:szCs w:val="28"/>
            </w:rPr>
            <w:t>6</w:t>
          </w:r>
          <w:r>
            <w:rPr>
              <w:rFonts w:hint="eastAsia" w:ascii="Times New Roman" w:hAnsi="Times New Roman" w:eastAsia="黑体"/>
              <w:kern w:val="44"/>
              <w:sz w:val="28"/>
              <w:szCs w:val="28"/>
              <w:lang w:val="en-GB"/>
            </w:rPr>
            <w:t>效益分析</w:t>
          </w:r>
          <w:r>
            <w:rPr>
              <w:sz w:val="28"/>
              <w:szCs w:val="28"/>
            </w:rPr>
            <w:tab/>
          </w:r>
          <w:r>
            <w:rPr>
              <w:sz w:val="28"/>
              <w:szCs w:val="28"/>
            </w:rPr>
            <w:fldChar w:fldCharType="begin"/>
          </w:r>
          <w:r>
            <w:rPr>
              <w:sz w:val="28"/>
              <w:szCs w:val="28"/>
            </w:rPr>
            <w:instrText xml:space="preserve"> PAGEREF _Toc24527 \h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"_Toc31872" </w:instrText>
          </w:r>
          <w:r>
            <w:fldChar w:fldCharType="separate"/>
          </w:r>
          <w:r>
            <w:rPr>
              <w:rFonts w:hint="eastAsia" w:ascii="Times New Roman" w:hAnsi="Times New Roman" w:eastAsia="华文楷体"/>
              <w:sz w:val="28"/>
              <w:szCs w:val="28"/>
            </w:rPr>
            <w:t>6.1经济效益</w:t>
          </w:r>
          <w:r>
            <w:rPr>
              <w:sz w:val="28"/>
              <w:szCs w:val="28"/>
            </w:rPr>
            <w:tab/>
          </w:r>
          <w:r>
            <w:rPr>
              <w:sz w:val="28"/>
              <w:szCs w:val="28"/>
            </w:rPr>
            <w:fldChar w:fldCharType="begin"/>
          </w:r>
          <w:r>
            <w:rPr>
              <w:sz w:val="28"/>
              <w:szCs w:val="28"/>
            </w:rPr>
            <w:instrText xml:space="preserve"> PAGEREF _Toc31872 \h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"_Toc8054" </w:instrText>
          </w:r>
          <w:r>
            <w:fldChar w:fldCharType="separate"/>
          </w:r>
          <w:r>
            <w:rPr>
              <w:rFonts w:hint="eastAsia" w:ascii="Times New Roman" w:hAnsi="Times New Roman" w:eastAsia="华文楷体"/>
              <w:sz w:val="28"/>
              <w:szCs w:val="28"/>
            </w:rPr>
            <w:t>6.</w:t>
          </w:r>
          <w:r>
            <w:rPr>
              <w:rFonts w:ascii="Times New Roman" w:hAnsi="Times New Roman" w:eastAsia="华文楷体"/>
              <w:sz w:val="28"/>
              <w:szCs w:val="28"/>
            </w:rPr>
            <w:t>2</w:t>
          </w:r>
          <w:r>
            <w:rPr>
              <w:rFonts w:hint="eastAsia" w:ascii="Times New Roman" w:hAnsi="Times New Roman" w:eastAsia="华文楷体"/>
              <w:sz w:val="28"/>
              <w:szCs w:val="28"/>
            </w:rPr>
            <w:t>环境效益</w:t>
          </w:r>
          <w:r>
            <w:rPr>
              <w:sz w:val="28"/>
              <w:szCs w:val="28"/>
            </w:rPr>
            <w:tab/>
          </w:r>
          <w:r>
            <w:rPr>
              <w:sz w:val="28"/>
              <w:szCs w:val="28"/>
            </w:rPr>
            <w:fldChar w:fldCharType="begin"/>
          </w:r>
          <w:r>
            <w:rPr>
              <w:sz w:val="28"/>
              <w:szCs w:val="28"/>
            </w:rPr>
            <w:instrText xml:space="preserve"> PAGEREF _Toc8054 \h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"_Toc20196" </w:instrText>
          </w:r>
          <w:r>
            <w:fldChar w:fldCharType="separate"/>
          </w:r>
          <w:r>
            <w:rPr>
              <w:rFonts w:hint="eastAsia" w:ascii="Times New Roman" w:hAnsi="Times New Roman" w:eastAsia="华文楷体"/>
              <w:sz w:val="28"/>
              <w:szCs w:val="28"/>
            </w:rPr>
            <w:t>6.</w:t>
          </w:r>
          <w:r>
            <w:rPr>
              <w:rFonts w:ascii="Times New Roman" w:hAnsi="Times New Roman" w:eastAsia="华文楷体"/>
              <w:sz w:val="28"/>
              <w:szCs w:val="28"/>
            </w:rPr>
            <w:t>3</w:t>
          </w:r>
          <w:r>
            <w:rPr>
              <w:rFonts w:hint="eastAsia" w:ascii="Times New Roman" w:hAnsi="Times New Roman" w:eastAsia="华文楷体"/>
              <w:sz w:val="28"/>
              <w:szCs w:val="28"/>
            </w:rPr>
            <w:t>社会效益</w:t>
          </w:r>
          <w:r>
            <w:rPr>
              <w:sz w:val="28"/>
              <w:szCs w:val="28"/>
            </w:rPr>
            <w:tab/>
          </w:r>
          <w:r>
            <w:rPr>
              <w:sz w:val="28"/>
              <w:szCs w:val="28"/>
            </w:rPr>
            <w:fldChar w:fldCharType="begin"/>
          </w:r>
          <w:r>
            <w:rPr>
              <w:sz w:val="28"/>
              <w:szCs w:val="28"/>
            </w:rPr>
            <w:instrText xml:space="preserve"> PAGEREF _Toc20196 \h </w:instrText>
          </w:r>
          <w:r>
            <w:rPr>
              <w:sz w:val="28"/>
              <w:szCs w:val="28"/>
            </w:rPr>
            <w:fldChar w:fldCharType="separate"/>
          </w:r>
          <w:r>
            <w:rPr>
              <w:sz w:val="28"/>
              <w:szCs w:val="28"/>
            </w:rPr>
            <w:t>66</w:t>
          </w:r>
          <w:r>
            <w:rPr>
              <w:sz w:val="28"/>
              <w:szCs w:val="28"/>
            </w:rPr>
            <w:fldChar w:fldCharType="end"/>
          </w:r>
          <w:r>
            <w:rPr>
              <w:sz w:val="28"/>
              <w:szCs w:val="28"/>
            </w:rPr>
            <w:fldChar w:fldCharType="end"/>
          </w:r>
        </w:p>
        <w:p>
          <w:pPr>
            <w:pStyle w:val="22"/>
            <w:tabs>
              <w:tab w:val="right" w:leader="middleDot" w:pos="8845"/>
            </w:tabs>
            <w:rPr>
              <w:sz w:val="28"/>
              <w:szCs w:val="28"/>
            </w:rPr>
          </w:pPr>
          <w:r>
            <w:fldChar w:fldCharType="begin"/>
          </w:r>
          <w:r>
            <w:instrText xml:space="preserve"> HYPERLINK \l "_Toc11606" </w:instrText>
          </w:r>
          <w:r>
            <w:fldChar w:fldCharType="separate"/>
          </w:r>
          <w:r>
            <w:rPr>
              <w:rFonts w:hint="eastAsia" w:ascii="Times New Roman" w:hAnsi="Times New Roman" w:eastAsia="黑体"/>
              <w:kern w:val="44"/>
              <w:sz w:val="28"/>
              <w:szCs w:val="28"/>
            </w:rPr>
            <w:t>7</w:t>
          </w:r>
          <w:r>
            <w:rPr>
              <w:rFonts w:ascii="Times New Roman" w:hAnsi="Times New Roman" w:eastAsia="黑体"/>
              <w:kern w:val="44"/>
              <w:sz w:val="28"/>
              <w:szCs w:val="28"/>
              <w:lang w:val="en-GB"/>
            </w:rPr>
            <w:t>保障措施</w:t>
          </w:r>
          <w:r>
            <w:rPr>
              <w:sz w:val="28"/>
              <w:szCs w:val="28"/>
            </w:rPr>
            <w:tab/>
          </w:r>
          <w:r>
            <w:rPr>
              <w:sz w:val="28"/>
              <w:szCs w:val="28"/>
            </w:rPr>
            <w:fldChar w:fldCharType="begin"/>
          </w:r>
          <w:r>
            <w:rPr>
              <w:sz w:val="28"/>
              <w:szCs w:val="28"/>
            </w:rPr>
            <w:instrText xml:space="preserve"> PAGEREF _Toc11606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"_Toc27327" </w:instrText>
          </w:r>
          <w:r>
            <w:fldChar w:fldCharType="separate"/>
          </w:r>
          <w:r>
            <w:rPr>
              <w:rFonts w:hint="eastAsia" w:ascii="Times New Roman" w:hAnsi="Times New Roman" w:eastAsia="华文楷体"/>
              <w:sz w:val="28"/>
              <w:szCs w:val="28"/>
            </w:rPr>
            <w:t>7.1</w:t>
          </w:r>
          <w:r>
            <w:rPr>
              <w:rFonts w:ascii="Times New Roman" w:hAnsi="Times New Roman" w:eastAsia="华文楷体"/>
              <w:sz w:val="28"/>
              <w:szCs w:val="28"/>
            </w:rPr>
            <w:t>加强组织领导，细化责任分工</w:t>
          </w:r>
          <w:r>
            <w:rPr>
              <w:sz w:val="28"/>
              <w:szCs w:val="28"/>
            </w:rPr>
            <w:tab/>
          </w:r>
          <w:r>
            <w:rPr>
              <w:sz w:val="28"/>
              <w:szCs w:val="28"/>
            </w:rPr>
            <w:fldChar w:fldCharType="begin"/>
          </w:r>
          <w:r>
            <w:rPr>
              <w:sz w:val="28"/>
              <w:szCs w:val="28"/>
            </w:rPr>
            <w:instrText xml:space="preserve"> PAGEREF _Toc27327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25"/>
            <w:tabs>
              <w:tab w:val="right" w:leader="middleDot" w:pos="8845"/>
            </w:tabs>
            <w:rPr>
              <w:sz w:val="28"/>
              <w:szCs w:val="28"/>
            </w:rPr>
          </w:pPr>
          <w:r>
            <w:fldChar w:fldCharType="begin"/>
          </w:r>
          <w:r>
            <w:instrText xml:space="preserve"> HYPERLINK \l "_Toc2936" </w:instrText>
          </w:r>
          <w:r>
            <w:fldChar w:fldCharType="separate"/>
          </w:r>
          <w:r>
            <w:rPr>
              <w:rFonts w:hint="eastAsia" w:ascii="Times New Roman" w:hAnsi="Times New Roman" w:eastAsia="华文楷体"/>
              <w:sz w:val="28"/>
              <w:szCs w:val="28"/>
            </w:rPr>
            <w:t>7.2</w:t>
          </w:r>
          <w:r>
            <w:rPr>
              <w:rFonts w:ascii="Times New Roman" w:hAnsi="Times New Roman" w:eastAsia="华文楷体"/>
              <w:sz w:val="28"/>
              <w:szCs w:val="28"/>
            </w:rPr>
            <w:t>提升</w:t>
          </w:r>
          <w:r>
            <w:rPr>
              <w:rFonts w:hint="eastAsia" w:ascii="Times New Roman" w:hAnsi="Times New Roman" w:eastAsia="华文楷体"/>
              <w:sz w:val="28"/>
              <w:szCs w:val="28"/>
            </w:rPr>
            <w:t>政策扶持</w:t>
          </w:r>
          <w:r>
            <w:rPr>
              <w:rFonts w:ascii="Times New Roman" w:hAnsi="Times New Roman" w:eastAsia="华文楷体"/>
              <w:sz w:val="28"/>
              <w:szCs w:val="28"/>
            </w:rPr>
            <w:t>，优化技术指导</w:t>
          </w:r>
          <w:r>
            <w:rPr>
              <w:sz w:val="28"/>
              <w:szCs w:val="28"/>
            </w:rPr>
            <w:tab/>
          </w:r>
          <w:r>
            <w:rPr>
              <w:sz w:val="28"/>
              <w:szCs w:val="28"/>
            </w:rPr>
            <w:fldChar w:fldCharType="begin"/>
          </w:r>
          <w:r>
            <w:rPr>
              <w:sz w:val="28"/>
              <w:szCs w:val="28"/>
            </w:rPr>
            <w:instrText xml:space="preserve"> PAGEREF _Toc2936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25"/>
            <w:tabs>
              <w:tab w:val="right" w:leader="middleDot" w:pos="8845"/>
            </w:tabs>
          </w:pPr>
          <w:r>
            <w:fldChar w:fldCharType="begin"/>
          </w:r>
          <w:r>
            <w:instrText xml:space="preserve"> HYPERLINK \l "_Toc13540" </w:instrText>
          </w:r>
          <w:r>
            <w:fldChar w:fldCharType="separate"/>
          </w:r>
          <w:r>
            <w:rPr>
              <w:rFonts w:hint="eastAsia" w:ascii="Times New Roman" w:hAnsi="Times New Roman" w:eastAsia="华文楷体"/>
              <w:sz w:val="28"/>
              <w:szCs w:val="28"/>
            </w:rPr>
            <w:t>7.</w:t>
          </w:r>
          <w:r>
            <w:rPr>
              <w:rFonts w:ascii="Times New Roman" w:hAnsi="Times New Roman" w:eastAsia="华文楷体"/>
              <w:sz w:val="28"/>
              <w:szCs w:val="28"/>
            </w:rPr>
            <w:t>3充分宣传教育</w:t>
          </w:r>
          <w:r>
            <w:rPr>
              <w:rFonts w:hint="eastAsia" w:ascii="Times New Roman" w:hAnsi="Times New Roman" w:eastAsia="华文楷体"/>
              <w:sz w:val="28"/>
              <w:szCs w:val="28"/>
            </w:rPr>
            <w:t>，</w:t>
          </w:r>
          <w:r>
            <w:rPr>
              <w:rFonts w:ascii="Times New Roman" w:hAnsi="Times New Roman" w:eastAsia="华文楷体"/>
              <w:sz w:val="28"/>
              <w:szCs w:val="28"/>
            </w:rPr>
            <w:t>引导公众参与</w:t>
          </w:r>
          <w:r>
            <w:rPr>
              <w:sz w:val="28"/>
              <w:szCs w:val="28"/>
            </w:rPr>
            <w:tab/>
          </w:r>
          <w:r>
            <w:rPr>
              <w:sz w:val="28"/>
              <w:szCs w:val="28"/>
            </w:rPr>
            <w:fldChar w:fldCharType="begin"/>
          </w:r>
          <w:r>
            <w:rPr>
              <w:sz w:val="28"/>
              <w:szCs w:val="28"/>
            </w:rPr>
            <w:instrText xml:space="preserve"> PAGEREF _Toc13540 \h </w:instrText>
          </w:r>
          <w:r>
            <w:rPr>
              <w:sz w:val="28"/>
              <w:szCs w:val="28"/>
            </w:rPr>
            <w:fldChar w:fldCharType="separate"/>
          </w:r>
          <w:r>
            <w:rPr>
              <w:sz w:val="28"/>
              <w:szCs w:val="28"/>
            </w:rPr>
            <w:t>68</w:t>
          </w:r>
          <w:r>
            <w:rPr>
              <w:sz w:val="28"/>
              <w:szCs w:val="28"/>
            </w:rPr>
            <w:fldChar w:fldCharType="end"/>
          </w:r>
          <w:r>
            <w:rPr>
              <w:sz w:val="28"/>
              <w:szCs w:val="28"/>
            </w:rPr>
            <w:fldChar w:fldCharType="end"/>
          </w:r>
        </w:p>
        <w:p>
          <w:pPr>
            <w:pStyle w:val="25"/>
            <w:tabs>
              <w:tab w:val="right" w:leader="dot" w:pos="8835"/>
            </w:tabs>
            <w:spacing w:line="312" w:lineRule="auto"/>
            <w:ind w:left="0"/>
            <w:rPr>
              <w:rFonts w:ascii="Times New Roman" w:hAnsi="Times New Roman"/>
              <w:szCs w:val="28"/>
            </w:rPr>
          </w:pPr>
          <w:r>
            <w:rPr>
              <w:rFonts w:ascii="Times New Roman" w:hAnsi="Times New Roman"/>
              <w:szCs w:val="28"/>
            </w:rPr>
            <w:fldChar w:fldCharType="end"/>
          </w:r>
          <w:r>
            <w:rPr>
              <w:rFonts w:hint="eastAsia" w:ascii="Times New Roman" w:hAnsi="Times New Roman"/>
              <w:szCs w:val="28"/>
            </w:rPr>
            <w:t xml:space="preserve">  </w:t>
          </w:r>
        </w:p>
        <w:p>
          <w:pPr>
            <w:pStyle w:val="25"/>
            <w:tabs>
              <w:tab w:val="right" w:leader="dot" w:pos="8835"/>
            </w:tabs>
            <w:spacing w:line="312" w:lineRule="auto"/>
            <w:ind w:left="0"/>
            <w:rPr>
              <w:rFonts w:ascii="Times New Roman" w:hAnsi="Times New Roman" w:eastAsia="黑体"/>
              <w:kern w:val="44"/>
              <w:sz w:val="28"/>
              <w:szCs w:val="28"/>
            </w:rPr>
          </w:pPr>
          <w:r>
            <w:rPr>
              <w:rFonts w:ascii="Times New Roman" w:hAnsi="Times New Roman" w:eastAsia="黑体"/>
              <w:kern w:val="44"/>
              <w:sz w:val="28"/>
              <w:szCs w:val="28"/>
              <w:lang w:val="en-GB"/>
            </w:rPr>
            <w:t>附表</w:t>
          </w:r>
          <w:r>
            <w:rPr>
              <w:rFonts w:hint="eastAsia" w:ascii="Times New Roman" w:hAnsi="Times New Roman" w:eastAsia="黑体"/>
              <w:kern w:val="44"/>
              <w:sz w:val="28"/>
              <w:szCs w:val="28"/>
              <w:lang w:val="en-GB"/>
            </w:rPr>
            <w:t>、</w:t>
          </w:r>
          <w:r>
            <w:rPr>
              <w:rFonts w:hint="eastAsia" w:ascii="Times New Roman" w:hAnsi="Times New Roman" w:eastAsia="黑体"/>
              <w:kern w:val="44"/>
              <w:sz w:val="28"/>
              <w:szCs w:val="28"/>
            </w:rPr>
            <w:t>附图</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附表1：长清区畜禽规模养殖场基本情况表</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附表2：畜禽养殖场户粪污肥料化利用配套土地面积要求清单</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附表3：畜禽养殖污染防治重点工程支持主体和内容清单</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附表4：行政区域内耕地、园地、林地、草地面积清单</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附表</w:t>
          </w:r>
          <w:r>
            <w:rPr>
              <w:rFonts w:hint="eastAsia" w:ascii="Times New Roman" w:hAnsi="Times New Roman" w:eastAsia="华文楷体"/>
              <w:sz w:val="28"/>
              <w:szCs w:val="28"/>
            </w:rPr>
            <w:t>5</w:t>
          </w:r>
          <w:r>
            <w:rPr>
              <w:rFonts w:ascii="Times New Roman" w:hAnsi="Times New Roman" w:eastAsia="华文楷体"/>
              <w:sz w:val="28"/>
              <w:szCs w:val="28"/>
            </w:rPr>
            <w:t>：果菜茶种植基地、有机农业示范区清单</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附表</w:t>
          </w:r>
          <w:r>
            <w:rPr>
              <w:rFonts w:hint="eastAsia" w:ascii="Times New Roman" w:hAnsi="Times New Roman" w:eastAsia="华文楷体"/>
              <w:sz w:val="28"/>
              <w:szCs w:val="28"/>
            </w:rPr>
            <w:t>6</w:t>
          </w:r>
          <w:r>
            <w:rPr>
              <w:rFonts w:ascii="Times New Roman" w:hAnsi="Times New Roman" w:eastAsia="华文楷体"/>
              <w:sz w:val="28"/>
              <w:szCs w:val="28"/>
            </w:rPr>
            <w:t>：规模养殖场粪污处理利用</w:t>
          </w:r>
          <w:r>
            <w:rPr>
              <w:rFonts w:hint="eastAsia" w:ascii="Times New Roman" w:hAnsi="Times New Roman" w:eastAsia="华文楷体"/>
              <w:sz w:val="28"/>
              <w:szCs w:val="28"/>
            </w:rPr>
            <w:t>企业统计</w:t>
          </w:r>
          <w:r>
            <w:rPr>
              <w:rFonts w:ascii="Times New Roman" w:hAnsi="Times New Roman" w:eastAsia="华文楷体"/>
              <w:sz w:val="28"/>
              <w:szCs w:val="28"/>
            </w:rPr>
            <w:t>表</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附图1：长清区行政区划图</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附图</w:t>
          </w:r>
          <w:r>
            <w:rPr>
              <w:rFonts w:hint="eastAsia" w:ascii="Times New Roman" w:hAnsi="Times New Roman" w:eastAsia="华文楷体"/>
              <w:sz w:val="28"/>
              <w:szCs w:val="28"/>
            </w:rPr>
            <w:t>2</w:t>
          </w:r>
          <w:r>
            <w:rPr>
              <w:rFonts w:ascii="Times New Roman" w:hAnsi="Times New Roman" w:eastAsia="华文楷体"/>
              <w:sz w:val="28"/>
              <w:szCs w:val="28"/>
            </w:rPr>
            <w:t>：长清区</w:t>
          </w:r>
          <w:r>
            <w:rPr>
              <w:rFonts w:hint="eastAsia" w:ascii="Times New Roman" w:hAnsi="Times New Roman" w:eastAsia="华文楷体"/>
              <w:sz w:val="28"/>
              <w:szCs w:val="28"/>
            </w:rPr>
            <w:t>规模养殖场分布</w:t>
          </w:r>
          <w:r>
            <w:rPr>
              <w:rFonts w:ascii="Times New Roman" w:hAnsi="Times New Roman" w:eastAsia="华文楷体"/>
              <w:sz w:val="28"/>
              <w:szCs w:val="28"/>
            </w:rPr>
            <w:t>图</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附图</w:t>
          </w:r>
          <w:r>
            <w:rPr>
              <w:rFonts w:hint="eastAsia" w:ascii="Times New Roman" w:hAnsi="Times New Roman" w:eastAsia="华文楷体"/>
              <w:sz w:val="28"/>
              <w:szCs w:val="28"/>
            </w:rPr>
            <w:t>3</w:t>
          </w:r>
          <w:r>
            <w:rPr>
              <w:rFonts w:ascii="Times New Roman" w:hAnsi="Times New Roman" w:eastAsia="华文楷体"/>
              <w:sz w:val="28"/>
              <w:szCs w:val="28"/>
            </w:rPr>
            <w:t>：长清区耕地、园地、林地、草地分布图</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附图</w:t>
          </w:r>
          <w:r>
            <w:rPr>
              <w:rFonts w:hint="eastAsia" w:ascii="Times New Roman" w:hAnsi="Times New Roman" w:eastAsia="华文楷体"/>
              <w:sz w:val="28"/>
              <w:szCs w:val="28"/>
            </w:rPr>
            <w:t>4</w:t>
          </w:r>
          <w:r>
            <w:rPr>
              <w:rFonts w:ascii="Times New Roman" w:hAnsi="Times New Roman" w:eastAsia="华文楷体"/>
              <w:sz w:val="28"/>
              <w:szCs w:val="28"/>
            </w:rPr>
            <w:t>：长清区水功能区划图</w:t>
          </w:r>
        </w:p>
        <w:p>
          <w:pPr>
            <w:pStyle w:val="25"/>
            <w:tabs>
              <w:tab w:val="right" w:leader="middleDot" w:pos="8845"/>
            </w:tabs>
            <w:rPr>
              <w:rFonts w:ascii="Times New Roman" w:hAnsi="Times New Roman" w:eastAsia="华文楷体"/>
              <w:sz w:val="28"/>
              <w:szCs w:val="28"/>
            </w:rPr>
          </w:pPr>
          <w:r>
            <w:rPr>
              <w:rFonts w:ascii="Times New Roman" w:hAnsi="Times New Roman" w:eastAsia="华文楷体"/>
              <w:sz w:val="28"/>
              <w:szCs w:val="28"/>
            </w:rPr>
            <w:t>附图</w:t>
          </w:r>
          <w:r>
            <w:rPr>
              <w:rFonts w:hint="eastAsia" w:ascii="Times New Roman" w:hAnsi="Times New Roman" w:eastAsia="华文楷体"/>
              <w:sz w:val="28"/>
              <w:szCs w:val="28"/>
            </w:rPr>
            <w:t>5</w:t>
          </w:r>
          <w:r>
            <w:rPr>
              <w:rFonts w:ascii="Times New Roman" w:hAnsi="Times New Roman" w:eastAsia="华文楷体"/>
              <w:sz w:val="28"/>
              <w:szCs w:val="28"/>
            </w:rPr>
            <w:t>：长清区禁养区分布图</w:t>
          </w:r>
        </w:p>
        <w:p>
          <w:pPr>
            <w:pStyle w:val="25"/>
            <w:tabs>
              <w:tab w:val="right" w:leader="middleDot" w:pos="8845"/>
            </w:tabs>
            <w:rPr>
              <w:rFonts w:ascii="Times New Roman" w:hAnsi="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985" w:right="1531" w:bottom="1814" w:left="1531" w:header="720" w:footer="1418" w:gutter="0"/>
              <w:pgNumType w:start="1"/>
              <w:cols w:space="0" w:num="1"/>
            </w:sectPr>
          </w:pPr>
          <w:r>
            <w:rPr>
              <w:rFonts w:ascii="Times New Roman" w:hAnsi="Times New Roman" w:eastAsia="华文楷体"/>
              <w:sz w:val="28"/>
              <w:szCs w:val="28"/>
            </w:rPr>
            <w:t>附图</w:t>
          </w:r>
          <w:r>
            <w:rPr>
              <w:rFonts w:hint="eastAsia" w:ascii="Times New Roman" w:hAnsi="Times New Roman" w:eastAsia="华文楷体"/>
              <w:sz w:val="28"/>
              <w:szCs w:val="28"/>
            </w:rPr>
            <w:t>6</w:t>
          </w:r>
          <w:r>
            <w:rPr>
              <w:rFonts w:ascii="Times New Roman" w:hAnsi="Times New Roman" w:eastAsia="华文楷体"/>
              <w:sz w:val="28"/>
              <w:szCs w:val="28"/>
            </w:rPr>
            <w:t>：长清区规模化畜禽养殖场粪污处理利用企业分布图</w:t>
          </w:r>
        </w:p>
        <w:p>
          <w:pPr>
            <w:pStyle w:val="25"/>
            <w:tabs>
              <w:tab w:val="right" w:leader="dot" w:pos="8835"/>
            </w:tabs>
            <w:spacing w:line="312" w:lineRule="auto"/>
            <w:ind w:left="0"/>
          </w:pPr>
        </w:p>
      </w:sdtContent>
    </w:sdt>
    <w:p>
      <w:pPr>
        <w:pStyle w:val="3"/>
        <w:keepNext w:val="0"/>
        <w:keepLines w:val="0"/>
        <w:widowControl w:val="0"/>
        <w:spacing w:after="0" w:line="570" w:lineRule="exact"/>
        <w:ind w:left="0" w:right="0" w:firstLine="643"/>
        <w:jc w:val="both"/>
        <w:rPr>
          <w:rFonts w:ascii="黑体" w:hAnsi="黑体" w:eastAsia="黑体" w:cs="Times New Roman"/>
          <w:b/>
          <w:color w:val="auto"/>
          <w:kern w:val="44"/>
          <w:sz w:val="32"/>
          <w:szCs w:val="32"/>
          <w:lang w:val="en-GB"/>
        </w:rPr>
      </w:pPr>
      <w:bookmarkStart w:id="0" w:name="_Toc1580"/>
      <w:r>
        <w:rPr>
          <w:rFonts w:hint="eastAsia" w:ascii="黑体" w:hAnsi="黑体" w:eastAsia="黑体" w:cs="Times New Roman"/>
          <w:b/>
          <w:color w:val="auto"/>
          <w:kern w:val="44"/>
          <w:sz w:val="32"/>
          <w:szCs w:val="32"/>
        </w:rPr>
        <w:t>1</w:t>
      </w:r>
      <w:r>
        <w:rPr>
          <w:rFonts w:ascii="黑体" w:hAnsi="黑体" w:eastAsia="黑体" w:cs="Times New Roman"/>
          <w:b/>
          <w:color w:val="auto"/>
          <w:kern w:val="44"/>
          <w:sz w:val="32"/>
          <w:szCs w:val="32"/>
          <w:lang w:val="en-GB"/>
        </w:rPr>
        <w:t>总则</w:t>
      </w:r>
      <w:bookmarkEnd w:id="0"/>
    </w:p>
    <w:p>
      <w:pPr>
        <w:pStyle w:val="4"/>
        <w:spacing w:beforeLines="0" w:afterLines="0" w:line="570" w:lineRule="exact"/>
        <w:ind w:firstLine="641"/>
        <w:jc w:val="both"/>
        <w:rPr>
          <w:rFonts w:hint="eastAsia" w:ascii="楷体_GB2312" w:hAnsi="楷体_GB2312" w:eastAsia="楷体_GB2312" w:cs="楷体_GB2312"/>
          <w:color w:val="auto"/>
          <w:sz w:val="32"/>
          <w:szCs w:val="32"/>
        </w:rPr>
      </w:pPr>
      <w:bookmarkStart w:id="1" w:name="_Toc5386"/>
      <w:r>
        <w:rPr>
          <w:rFonts w:hint="eastAsia" w:ascii="楷体_GB2312" w:hAnsi="楷体_GB2312" w:eastAsia="楷体_GB2312" w:cs="楷体_GB2312"/>
          <w:color w:val="auto"/>
          <w:sz w:val="32"/>
          <w:szCs w:val="32"/>
        </w:rPr>
        <w:t>1.1规划背景</w:t>
      </w:r>
      <w:bookmarkEnd w:id="1"/>
    </w:p>
    <w:p>
      <w:pPr>
        <w:widowControl w:val="0"/>
        <w:spacing w:line="570" w:lineRule="exact"/>
        <w:ind w:firstLine="64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习近平总书记指出，农业发展不仅要杜绝生态环境欠新账，而且要逐步还旧账，要打好农业面源污染治理攻坚战。抓好畜禽养殖污染防治，关系畜产品有效供给，关系农业面源污染治理攻坚战的成败，关系农村人居环境改善，是重大的民生工程。</w:t>
      </w:r>
    </w:p>
    <w:p>
      <w:pPr>
        <w:widowControl w:val="0"/>
        <w:spacing w:line="570" w:lineRule="exact"/>
        <w:ind w:firstLine="64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2014年1月1日，中华人民共和国国务院令第643号《畜禽规模养殖污染防治条例》开始实施，规定了畜禽养殖场、养殖小区的养殖污染防治要求，要求县级以上人民政府环境保护主管部门会同农牧主管部门编制畜禽养殖污染防治规划，规划应当与畜牧业发展规划相衔接，统筹考虑畜禽养殖生产布局，明确畜禽养殖污染防治目标、任务、重点区域，明确污染治理重点设施建设，以及废弃物综合利用等污染防治措施。随后2015年1月1日新《环境保护法》开始实施，要求推动农村环境综合整治，畜禽养殖场、养殖小区选址合理，对畜禽粪便、尸体和污水等废弃物进行科学处置，防止污染环境。为提升畜禽养殖污染防治工作，2017年以来相继出台了《国务院办公厅关于加快推进畜禽养殖废弃物资源化利用的意见》《农业农村部办公厅生态环境部办公厅关于促进畜禽粪污还田利用依法加强养殖污染治理的指导意见》《农业农村部办公厅生态环境部办公厅进一步明确畜禽粪污还田利用要求强化养殖污染监管的通知》等意见，持续推进畜禽养殖污染防治及粪污资源化工作。</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2017年，山东省人民政府印发了《山东省加快推进畜禽养殖废弃物资源化利用实施方案》，要求按照源头减量、过程控制、末端利用的治理思路，以畜牧大县和规模养殖场为重点，以肥料化和能源化为主要利用方向</w:t>
      </w:r>
      <w:r>
        <w:rPr>
          <w:rFonts w:hint="eastAsia" w:ascii="Times New Roman" w:hAnsi="Times New Roman" w:cs="Times New Roman"/>
          <w:color w:val="auto"/>
          <w:sz w:val="32"/>
          <w:szCs w:val="32"/>
        </w:rPr>
        <w:t>，</w:t>
      </w:r>
      <w:r>
        <w:rPr>
          <w:rFonts w:ascii="Times New Roman" w:hAnsi="Times New Roman" w:cs="Times New Roman"/>
          <w:color w:val="auto"/>
          <w:sz w:val="32"/>
          <w:szCs w:val="32"/>
        </w:rPr>
        <w:t>优化产业布局，配建处理设施，培育处理主体，加强科技支撑，严格执法监管，完善政策扶持，健全制度体系，强化绩效考核，确保问题不反弹，全面推进畜禽养殖废弃物资源化利用，加快构建种养结合、农牧循环的可持续发展新格局。</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生态环境部等7部门联合印发的《“十四五”土壤、地下水和农村生态环境保护规划》（环土壤〔2021〕120号）、生态环境部等5部门联合印发的《农业农村污染治理攻坚战行动方案（2021-2025年）》（环土壤〔2022〕8号）、山东省生态环境厅等13个部门印发《山东省“十四五”农业农村生态环境保护行动方案》等文件要求，组织各地依法编制实施畜禽养殖污染防治规划。</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为进一步巩固长清区畜禽养殖污染整治成效，扎实做好畜禽粪污利用各项工作，加强畜禽养殖污染防治，推进农业面源污染治理、提升耕地质量，加快形成以粪肥还田利用为纽带的种养结合循环发展新格局，按照《畜禽规模养殖污染防治条例》规定，依据《畜禽养殖污染防治规划编制指南（试行）》（环办土壤函〔2021〕465号）要求，编制《长清区畜禽养殖污染防治规划（2022-2025年）》，指导济南市长清区积极推进畜禽养殖污染防治工作。</w:t>
      </w:r>
    </w:p>
    <w:p>
      <w:pPr>
        <w:pStyle w:val="4"/>
        <w:spacing w:beforeLines="0" w:afterLines="0" w:line="580" w:lineRule="exact"/>
        <w:ind w:firstLine="641"/>
        <w:jc w:val="both"/>
        <w:rPr>
          <w:rFonts w:eastAsia="华文楷体"/>
          <w:color w:val="auto"/>
          <w:sz w:val="32"/>
          <w:szCs w:val="32"/>
        </w:rPr>
      </w:pPr>
      <w:bookmarkStart w:id="2" w:name="_Toc9073"/>
      <w:r>
        <w:rPr>
          <w:rFonts w:eastAsia="华文楷体"/>
          <w:color w:val="auto"/>
          <w:sz w:val="32"/>
          <w:szCs w:val="32"/>
        </w:rPr>
        <w:t>1.2</w:t>
      </w:r>
      <w:r>
        <w:rPr>
          <w:rFonts w:hint="eastAsia" w:ascii="楷体_GB2312" w:eastAsia="楷体_GB2312"/>
          <w:color w:val="auto"/>
          <w:sz w:val="32"/>
          <w:szCs w:val="32"/>
        </w:rPr>
        <w:t>编制依据</w:t>
      </w:r>
      <w:bookmarkEnd w:id="2"/>
    </w:p>
    <w:p>
      <w:pPr>
        <w:pStyle w:val="5"/>
        <w:keepNext w:val="0"/>
        <w:keepLines w:val="0"/>
        <w:widowControl w:val="0"/>
        <w:spacing w:beforeLines="0" w:afterLines="0" w:line="580" w:lineRule="exact"/>
        <w:ind w:firstLine="643" w:firstLineChars="200"/>
        <w:jc w:val="both"/>
        <w:rPr>
          <w:color w:val="auto"/>
          <w:sz w:val="32"/>
          <w:szCs w:val="32"/>
        </w:rPr>
      </w:pPr>
      <w:bookmarkStart w:id="3" w:name="_Toc30128"/>
      <w:bookmarkStart w:id="4" w:name="_Toc112078472"/>
      <w:bookmarkStart w:id="5" w:name="_Toc117788542"/>
      <w:bookmarkStart w:id="6" w:name="_Toc117837716"/>
      <w:r>
        <w:rPr>
          <w:color w:val="auto"/>
          <w:sz w:val="32"/>
          <w:szCs w:val="32"/>
        </w:rPr>
        <w:t>1.2.1法律法规</w:t>
      </w:r>
      <w:bookmarkEnd w:id="3"/>
      <w:bookmarkEnd w:id="4"/>
      <w:bookmarkEnd w:id="5"/>
      <w:bookmarkEnd w:id="6"/>
    </w:p>
    <w:p>
      <w:pPr>
        <w:widowControl w:val="0"/>
        <w:spacing w:line="580" w:lineRule="exact"/>
        <w:ind w:firstLine="640"/>
        <w:jc w:val="both"/>
        <w:rPr>
          <w:rFonts w:ascii="Times New Roman" w:hAnsi="Times New Roman" w:cs="Times New Roman"/>
          <w:color w:val="auto"/>
          <w:sz w:val="32"/>
          <w:szCs w:val="32"/>
        </w:rPr>
      </w:pPr>
      <w:bookmarkStart w:id="7" w:name="_Toc117788543"/>
      <w:bookmarkStart w:id="8" w:name="_Toc32603"/>
      <w:bookmarkStart w:id="9" w:name="_Toc117837717"/>
      <w:bookmarkStart w:id="10" w:name="_Toc112078473"/>
      <w:r>
        <w:rPr>
          <w:rFonts w:ascii="Times New Roman" w:hAnsi="Times New Roman" w:cs="Times New Roman"/>
          <w:color w:val="auto"/>
          <w:sz w:val="32"/>
          <w:szCs w:val="32"/>
        </w:rPr>
        <w:t>（1）《中华人民共和国环境保护法》（2014年4月24日修订）；</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（2）《中华人民共和国水污染防治法》（2017年修订）；</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（3）《中华人民共和国大气污染防治法》（2018年10月26日修订）；</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（4）《中华人民共和国土壤污染防治法》（2019年1月1日起施行）；</w:t>
      </w:r>
    </w:p>
    <w:p>
      <w:pPr>
        <w:widowControl w:val="0"/>
        <w:spacing w:line="580" w:lineRule="exact"/>
        <w:ind w:firstLine="64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（5）《中华人民共和国固体废物污染环境防治法》（2020年修正）；</w:t>
      </w:r>
    </w:p>
    <w:p>
      <w:pPr>
        <w:widowControl w:val="0"/>
        <w:spacing w:line="580" w:lineRule="exact"/>
        <w:ind w:firstLine="64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（6）《中华人民共和国水法》（2016年修订）；</w:t>
      </w:r>
    </w:p>
    <w:p>
      <w:pPr>
        <w:widowControl w:val="0"/>
        <w:spacing w:line="580" w:lineRule="exact"/>
        <w:ind w:firstLine="64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（7）《中华人民共和国农业法》（2012年修订）；</w:t>
      </w:r>
    </w:p>
    <w:p>
      <w:pPr>
        <w:widowControl w:val="0"/>
        <w:spacing w:line="580" w:lineRule="exact"/>
        <w:ind w:firstLine="64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（8）《中华人民共和国畜牧法》（2015年修正）；</w:t>
      </w:r>
    </w:p>
    <w:p>
      <w:pPr>
        <w:widowControl w:val="0"/>
        <w:spacing w:line="580" w:lineRule="exact"/>
        <w:ind w:firstLine="64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（9）《中华人民共和国环境影响评价法》（2018年修订）；</w:t>
      </w:r>
    </w:p>
    <w:p>
      <w:pPr>
        <w:widowControl w:val="0"/>
        <w:spacing w:line="580" w:lineRule="exact"/>
        <w:ind w:firstLine="64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（10）《畜禽规模养殖污染防治条例》（2014年1月1日起施行）；</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（11）《山东省环境保护条例》（2018年修订）；</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（12）《山东省大气污染防治条例》（2018年修订）；</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（13）《山东省水污染防治条例》（2018年9月21日，省十三届人大常委会第五次会议通过）；</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（14）《山东省土壤污染防治条例》（2019年11月29日，山东省第十三届人民代表大会常务委员会第十五次会议通过）；</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（15）《山东省畜禽养殖管理办法》（2021年修订）。</w:t>
      </w:r>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1.2.2.技术规范</w:t>
      </w:r>
      <w:bookmarkEnd w:id="7"/>
      <w:bookmarkEnd w:id="8"/>
      <w:bookmarkEnd w:id="9"/>
      <w:bookmarkEnd w:id="10"/>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（1）《农田灌溉水质标准》（GB5084-2021）；</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（2）《粪便无害化卫生要求》（GB7959-2012）；</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（3）《土壤环境质量-农用地土壤污染风险管控标准（试行）》（GB15618-2018）；</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（4）《畜禽养殖业污染物排放标准》（GB18596-2001）；</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（5）《畜禽粪便还田技术规范》（GB/T25246-2010）；</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（6）《畜禽养殖污水贮存设施设计要求》（GB/T26624-2011）；</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（7）《畜禽粪便贮存设施设计要求》（GB/T27622-2011）；</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（8）《畜禽粪便无害化处理技术规范》（GB/T36195-2018）；</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（9）《畜禽养殖业污染治理工程技术规范》（HJ497-2009）；</w:t>
      </w:r>
    </w:p>
    <w:p>
      <w:pPr>
        <w:widowControl w:val="0"/>
        <w:numPr>
          <w:ilvl w:val="255"/>
          <w:numId w:val="0"/>
        </w:numPr>
        <w:spacing w:line="580" w:lineRule="exact"/>
        <w:ind w:firstLine="560"/>
        <w:jc w:val="both"/>
        <w:rPr>
          <w:rFonts w:ascii="Times New Roman" w:hAnsi="Times New Roman" w:cs="Times New Roman"/>
          <w:color w:val="auto"/>
          <w:sz w:val="32"/>
          <w:szCs w:val="32"/>
        </w:rPr>
      </w:pPr>
      <w:r>
        <w:rPr>
          <w:rFonts w:ascii="Times New Roman" w:hAnsi="Times New Roman" w:cs="Times New Roman"/>
          <w:color w:val="auto"/>
          <w:sz w:val="32"/>
          <w:szCs w:val="32"/>
        </w:rPr>
        <w:t>（10）《畜禽粪便土地承载力测算方法》（NY/T3877-2021）；</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（11）《畜禽养殖业污染防治技术规范》（HJ/T81-2001）；</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（12）《有机肥料》（NY525-2021）；</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（13）《畜禽场环境污染控制技术规范》（NY/T1169-2006）；</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（14）《沼肥施用技术规范》（NY/T2065-2011）；</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（15）《畜禽规模养殖场粪污资源化利用设施建设规范（试行）》。</w:t>
      </w:r>
    </w:p>
    <w:p>
      <w:pPr>
        <w:pStyle w:val="5"/>
        <w:keepNext w:val="0"/>
        <w:keepLines w:val="0"/>
        <w:widowControl w:val="0"/>
        <w:spacing w:beforeLines="0" w:afterLines="0" w:line="580" w:lineRule="exact"/>
        <w:ind w:firstLine="643" w:firstLineChars="200"/>
        <w:jc w:val="both"/>
        <w:rPr>
          <w:color w:val="auto"/>
          <w:sz w:val="32"/>
          <w:szCs w:val="32"/>
        </w:rPr>
      </w:pPr>
      <w:bookmarkStart w:id="11" w:name="_Toc22777"/>
      <w:bookmarkStart w:id="12" w:name="_Toc112078474"/>
      <w:bookmarkStart w:id="13" w:name="_Toc117788544"/>
      <w:bookmarkStart w:id="14" w:name="_Toc117837718"/>
      <w:r>
        <w:rPr>
          <w:color w:val="auto"/>
          <w:sz w:val="32"/>
          <w:szCs w:val="32"/>
        </w:rPr>
        <w:t>1.2.3.政策文件</w:t>
      </w:r>
      <w:bookmarkEnd w:id="11"/>
      <w:bookmarkEnd w:id="12"/>
      <w:bookmarkEnd w:id="13"/>
      <w:bookmarkEnd w:id="14"/>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（1）《国务院办公厅关于建立病死畜禽无害化处理机制的意见》（国办发〔2014〕47号）；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（2）《国务院办公厅关于加快推进畜禽养殖废弃物资源化利用的意见》（国办发〔2017〕48号）；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（3）《农业农村部国家发展改革委关于印发&lt;“十四五”全国畜禽粪肥利用种养结合建设规划&gt;&lt;“十四五”重点流域农业面源污染综合治理建设规划&gt;的通知》（农计财发〔2021〕33号）；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（4）《关于进一步规范畜禽养殖禁养区划定和管理促进生猪生产发展的通知》（环办土壤〔2019〕55号）；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（5）《农业农村污染治理攻坚战行动方案（2021</w:t>
      </w:r>
      <w:r>
        <w:rPr>
          <w:rFonts w:hint="eastAsia" w:ascii="Times New Roman" w:hAnsi="Times New Roman" w:cs="Times New Roman"/>
          <w:color w:val="auto"/>
          <w:sz w:val="32"/>
          <w:szCs w:val="32"/>
        </w:rPr>
        <w:t>-</w:t>
      </w:r>
      <w:r>
        <w:rPr>
          <w:rFonts w:ascii="Times New Roman" w:hAnsi="Times New Roman" w:cs="Times New Roman"/>
          <w:color w:val="auto"/>
          <w:sz w:val="32"/>
          <w:szCs w:val="32"/>
        </w:rPr>
        <w:t>2025年）》（环土壤〔2022〕8号）；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（6）《畜禽粪污土地承载力测算技术指南》（农办牧〔2018〕1号）；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（7）《畜禽规模养殖场粪污资源化利用设施建设规范（试行）》（农办牧〔2018〕2号）；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（8）《关于促进畜禽粪污还田利用依法加强养殖污染治理的指导意见》（农办牧〔2019〕84号）；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（9）《关于进一步明确畜禽粪污还田利用要求强化养殖污染监管的通知》（农办牧〔2020〕23号）；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（10）《关于进一步规范畜禽养殖禁养区管理的通知》环办土壤函（〔2020〕33号）；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（11）《关于开展水环境承载力评价工作的通知》（环办水体函〔2020〕538号）；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（12）《农业面源污染治理与监督指导实施方案（试行）》（环办土壤〔2021〕8号）；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（13）《畜禽养殖污染防治规划编制指南（试行）》（环办土壤函〔2021〕465号）；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（14）《山东省“十四五”畜禽养殖污染防治行动方案》（鲁环发〔2022〕16号）；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（15）《关于促进畜牧业高质量发展的实施意见》（鲁政办发〔2020〕27号）；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（16）《山东省畜禽养殖生产服务指南》（鲁牧畜字〔2021〕1号）；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（17）《山东省畜牧兽医局山东省生态环境厅转发&lt;农业农村部办公厅生态环境部办公厅关于促进畜禽粪污还田利用依法加强养殖污染治理指导意见&gt;的通知》（鲁牧畜发〔2020〕1号）；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（18）《山东省规模以下畜禽养殖污染防治和粪污资源化利用技术指南（试行）》（鲁牧畜发〔2021〕8号）；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（19）《山东省优化养殖布局推进农牧循环实施方案》（鲁牧畜发〔2020〕21号）；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（20）《畜禽养殖污染防治规划编制指南（试行）》（鲁环便函〔2022〕212号）；</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（21）《关于公布畜禽养殖场（养殖小区）规模标准的通知》（鲁牧畜科发〔2017〕4号）。</w:t>
      </w:r>
    </w:p>
    <w:p>
      <w:pPr>
        <w:pStyle w:val="5"/>
        <w:keepNext w:val="0"/>
        <w:keepLines w:val="0"/>
        <w:widowControl w:val="0"/>
        <w:spacing w:beforeLines="0" w:afterLines="0" w:line="580" w:lineRule="exact"/>
        <w:ind w:firstLine="643" w:firstLineChars="200"/>
        <w:jc w:val="both"/>
        <w:rPr>
          <w:color w:val="auto"/>
          <w:sz w:val="32"/>
          <w:szCs w:val="32"/>
        </w:rPr>
      </w:pPr>
      <w:bookmarkStart w:id="15" w:name="_Toc117788545"/>
      <w:bookmarkStart w:id="16" w:name="_Toc112078475"/>
      <w:bookmarkStart w:id="17" w:name="_Toc117837719"/>
      <w:bookmarkStart w:id="18" w:name="_Toc28016"/>
      <w:r>
        <w:rPr>
          <w:color w:val="auto"/>
          <w:sz w:val="32"/>
          <w:szCs w:val="32"/>
        </w:rPr>
        <w:t>1.2.4.相关规划</w:t>
      </w:r>
      <w:bookmarkEnd w:id="15"/>
      <w:bookmarkEnd w:id="16"/>
      <w:bookmarkEnd w:id="17"/>
      <w:bookmarkEnd w:id="18"/>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（1）《济南市国民经济和社会发展第十四个五年规划和二〇三五年远景目标纲要》；</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w:t>
      </w:r>
      <w:r>
        <w:rPr>
          <w:rFonts w:hint="eastAsia" w:ascii="Times New Roman" w:hAnsi="Times New Roman" w:cs="Times New Roman"/>
          <w:color w:val="auto"/>
          <w:sz w:val="32"/>
          <w:szCs w:val="32"/>
        </w:rPr>
        <w:t>2</w:t>
      </w:r>
      <w:r>
        <w:rPr>
          <w:rFonts w:ascii="Times New Roman" w:hAnsi="Times New Roman" w:cs="Times New Roman"/>
          <w:color w:val="auto"/>
          <w:sz w:val="32"/>
          <w:szCs w:val="32"/>
        </w:rPr>
        <w:t>）《济南市“十四五”生态环境保护规划》；</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w:t>
      </w:r>
      <w:r>
        <w:rPr>
          <w:rFonts w:hint="eastAsia" w:ascii="Times New Roman" w:hAnsi="Times New Roman" w:cs="Times New Roman"/>
          <w:color w:val="auto"/>
          <w:sz w:val="32"/>
          <w:szCs w:val="32"/>
        </w:rPr>
        <w:t>3</w:t>
      </w:r>
      <w:r>
        <w:rPr>
          <w:rFonts w:ascii="Times New Roman" w:hAnsi="Times New Roman" w:cs="Times New Roman"/>
          <w:color w:val="auto"/>
          <w:sz w:val="32"/>
          <w:szCs w:val="32"/>
        </w:rPr>
        <w:t>）《济南市“十四五”畜牧业发展规划》；</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w:t>
      </w:r>
      <w:r>
        <w:rPr>
          <w:rFonts w:hint="eastAsia" w:ascii="Times New Roman" w:hAnsi="Times New Roman" w:cs="Times New Roman"/>
          <w:color w:val="auto"/>
          <w:sz w:val="32"/>
          <w:szCs w:val="32"/>
        </w:rPr>
        <w:t>4</w:t>
      </w:r>
      <w:r>
        <w:rPr>
          <w:rFonts w:ascii="Times New Roman" w:hAnsi="Times New Roman" w:cs="Times New Roman"/>
          <w:color w:val="auto"/>
          <w:sz w:val="32"/>
          <w:szCs w:val="32"/>
        </w:rPr>
        <w:t>）《济南市长清区“十四五”生态环境保护规划》；</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w:t>
      </w:r>
      <w:r>
        <w:rPr>
          <w:rFonts w:hint="eastAsia" w:ascii="Times New Roman" w:hAnsi="Times New Roman" w:cs="Times New Roman"/>
          <w:color w:val="auto"/>
          <w:sz w:val="32"/>
          <w:szCs w:val="32"/>
        </w:rPr>
        <w:t>5</w:t>
      </w:r>
      <w:r>
        <w:rPr>
          <w:rFonts w:ascii="Times New Roman" w:hAnsi="Times New Roman" w:cs="Times New Roman"/>
          <w:color w:val="auto"/>
          <w:sz w:val="32"/>
          <w:szCs w:val="32"/>
        </w:rPr>
        <w:t>）《济南市长清区畜禽养殖禁养区优化调整方案》；</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w:t>
      </w:r>
      <w:r>
        <w:rPr>
          <w:rFonts w:hint="eastAsia" w:ascii="Times New Roman" w:hAnsi="Times New Roman" w:cs="Times New Roman"/>
          <w:color w:val="auto"/>
          <w:sz w:val="32"/>
          <w:szCs w:val="32"/>
        </w:rPr>
        <w:t>6</w:t>
      </w:r>
      <w:r>
        <w:rPr>
          <w:rFonts w:ascii="Times New Roman" w:hAnsi="Times New Roman" w:cs="Times New Roman"/>
          <w:color w:val="auto"/>
          <w:sz w:val="32"/>
          <w:szCs w:val="32"/>
        </w:rPr>
        <w:t>）《济南市畜禽养殖污染防治规划》(2022-2025)简稿。</w:t>
      </w:r>
    </w:p>
    <w:p>
      <w:pPr>
        <w:pStyle w:val="4"/>
        <w:spacing w:beforeLines="0" w:afterLines="0" w:line="580" w:lineRule="exact"/>
        <w:ind w:firstLine="641"/>
        <w:jc w:val="both"/>
        <w:rPr>
          <w:rFonts w:hint="eastAsia" w:ascii="楷体_GB2312" w:eastAsia="楷体_GB2312"/>
          <w:color w:val="auto"/>
          <w:sz w:val="32"/>
          <w:szCs w:val="32"/>
        </w:rPr>
      </w:pPr>
      <w:bookmarkStart w:id="19" w:name="_Toc2215"/>
      <w:r>
        <w:rPr>
          <w:rFonts w:eastAsia="华文楷体"/>
          <w:color w:val="auto"/>
          <w:sz w:val="32"/>
          <w:szCs w:val="32"/>
        </w:rPr>
        <w:t>1.3</w:t>
      </w:r>
      <w:r>
        <w:rPr>
          <w:rFonts w:hint="eastAsia" w:ascii="楷体_GB2312" w:eastAsia="楷体_GB2312"/>
          <w:color w:val="auto"/>
          <w:sz w:val="32"/>
          <w:szCs w:val="32"/>
        </w:rPr>
        <w:t>规划期限和范围</w:t>
      </w:r>
      <w:bookmarkEnd w:id="19"/>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规划时限：2022-2025年。规划基准年2021年。</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规划范围：长清区</w:t>
      </w:r>
      <w:r>
        <w:rPr>
          <w:rFonts w:hint="eastAsia" w:ascii="Times New Roman" w:hAnsi="Times New Roman" w:cs="Times New Roman"/>
          <w:color w:val="auto"/>
          <w:sz w:val="32"/>
          <w:szCs w:val="32"/>
        </w:rPr>
        <w:t>全域，</w:t>
      </w:r>
      <w:r>
        <w:rPr>
          <w:rFonts w:ascii="Times New Roman" w:hAnsi="Times New Roman" w:cs="Times New Roman"/>
          <w:color w:val="auto"/>
          <w:sz w:val="32"/>
          <w:szCs w:val="32"/>
        </w:rPr>
        <w:t>总面积</w:t>
      </w:r>
      <w:r>
        <w:rPr>
          <w:rFonts w:hint="eastAsia" w:ascii="Times New Roman" w:hAnsi="Times New Roman" w:cs="Times New Roman"/>
          <w:color w:val="auto"/>
          <w:sz w:val="32"/>
          <w:szCs w:val="32"/>
        </w:rPr>
        <w:t>1209</w:t>
      </w:r>
      <w:r>
        <w:rPr>
          <w:rFonts w:ascii="Times New Roman" w:hAnsi="Times New Roman" w:cs="Times New Roman"/>
          <w:color w:val="auto"/>
          <w:sz w:val="32"/>
          <w:szCs w:val="32"/>
        </w:rPr>
        <w:t>km</w:t>
      </w:r>
      <w:r>
        <w:rPr>
          <w:rFonts w:ascii="Times New Roman" w:hAnsi="Times New Roman" w:cs="Times New Roman"/>
          <w:color w:val="auto"/>
          <w:sz w:val="32"/>
          <w:szCs w:val="32"/>
          <w:vertAlign w:val="superscript"/>
        </w:rPr>
        <w:t>2</w:t>
      </w:r>
      <w:r>
        <w:rPr>
          <w:rFonts w:ascii="Times New Roman" w:hAnsi="Times New Roman" w:cs="Times New Roman"/>
          <w:color w:val="auto"/>
          <w:sz w:val="32"/>
          <w:szCs w:val="32"/>
        </w:rPr>
        <w:t>，全区辖文昌街道、平安街道、崮云湖街道、五峰山街道</w:t>
      </w:r>
      <w:r>
        <w:rPr>
          <w:rFonts w:hint="eastAsia" w:ascii="Times New Roman" w:hAnsi="Times New Roman" w:cs="Times New Roman"/>
          <w:color w:val="auto"/>
          <w:sz w:val="32"/>
          <w:szCs w:val="32"/>
        </w:rPr>
        <w:t>、</w:t>
      </w:r>
      <w:r>
        <w:rPr>
          <w:rFonts w:ascii="Times New Roman" w:hAnsi="Times New Roman" w:cs="Times New Roman"/>
          <w:color w:val="auto"/>
          <w:sz w:val="32"/>
          <w:szCs w:val="32"/>
        </w:rPr>
        <w:t>归德街道、万德街道、张夏街道、孝里街道、双泉镇、马山镇，共8个街道、2个镇，</w:t>
      </w:r>
      <w:r>
        <w:rPr>
          <w:rFonts w:hint="eastAsia" w:ascii="Times New Roman" w:hAnsi="Times New Roman" w:cs="Times New Roman"/>
          <w:color w:val="auto"/>
          <w:sz w:val="32"/>
          <w:szCs w:val="32"/>
        </w:rPr>
        <w:t>651</w:t>
      </w:r>
      <w:r>
        <w:rPr>
          <w:rFonts w:ascii="Times New Roman" w:hAnsi="Times New Roman" w:cs="Times New Roman"/>
          <w:color w:val="auto"/>
          <w:sz w:val="32"/>
          <w:szCs w:val="32"/>
        </w:rPr>
        <w:t>个</w:t>
      </w:r>
      <w:r>
        <w:rPr>
          <w:rFonts w:hint="eastAsia" w:ascii="Times New Roman" w:hAnsi="Times New Roman" w:cs="Times New Roman"/>
          <w:color w:val="auto"/>
          <w:sz w:val="32"/>
          <w:szCs w:val="32"/>
        </w:rPr>
        <w:t>村居</w:t>
      </w:r>
      <w:r>
        <w:rPr>
          <w:rFonts w:ascii="Times New Roman" w:hAnsi="Times New Roman" w:cs="Times New Roman"/>
          <w:color w:val="auto"/>
          <w:sz w:val="32"/>
          <w:szCs w:val="32"/>
        </w:rPr>
        <w:t>。</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规划对象包括辖区范围内的全部畜禽规模养殖场和畜禽养殖</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w:t>
      </w:r>
    </w:p>
    <w:p>
      <w:pPr>
        <w:pStyle w:val="4"/>
        <w:spacing w:beforeLines="0" w:afterLines="0" w:line="580" w:lineRule="exact"/>
        <w:ind w:firstLine="641"/>
        <w:jc w:val="both"/>
        <w:rPr>
          <w:rFonts w:hint="eastAsia" w:ascii="楷体_GB2312" w:eastAsia="楷体_GB2312"/>
          <w:color w:val="auto"/>
          <w:sz w:val="32"/>
          <w:szCs w:val="32"/>
        </w:rPr>
      </w:pPr>
      <w:bookmarkStart w:id="20" w:name="_Toc9075"/>
      <w:r>
        <w:rPr>
          <w:rFonts w:eastAsia="华文楷体"/>
          <w:color w:val="auto"/>
          <w:sz w:val="32"/>
          <w:szCs w:val="32"/>
        </w:rPr>
        <w:t>1.4</w:t>
      </w:r>
      <w:r>
        <w:rPr>
          <w:rFonts w:hint="eastAsia" w:ascii="楷体_GB2312" w:eastAsia="楷体_GB2312"/>
          <w:color w:val="auto"/>
          <w:sz w:val="32"/>
          <w:szCs w:val="32"/>
        </w:rPr>
        <w:t>规模认定</w:t>
      </w:r>
      <w:bookmarkEnd w:id="20"/>
    </w:p>
    <w:p>
      <w:pPr>
        <w:pStyle w:val="5"/>
        <w:keepNext w:val="0"/>
        <w:keepLines w:val="0"/>
        <w:widowControl w:val="0"/>
        <w:spacing w:beforeLines="0" w:afterLines="0" w:line="580" w:lineRule="exact"/>
        <w:ind w:firstLine="643" w:firstLineChars="200"/>
        <w:jc w:val="both"/>
        <w:rPr>
          <w:color w:val="auto"/>
          <w:sz w:val="32"/>
          <w:szCs w:val="32"/>
        </w:rPr>
      </w:pPr>
      <w:bookmarkStart w:id="21" w:name="_Toc117788548"/>
      <w:bookmarkStart w:id="22" w:name="_Toc117837722"/>
      <w:bookmarkStart w:id="23" w:name="_Toc112078478"/>
      <w:bookmarkStart w:id="24" w:name="_Toc7375"/>
      <w:r>
        <w:rPr>
          <w:color w:val="auto"/>
          <w:sz w:val="32"/>
          <w:szCs w:val="32"/>
        </w:rPr>
        <w:t>1.4.1畜禽规模养殖场</w:t>
      </w:r>
      <w:bookmarkEnd w:id="21"/>
      <w:bookmarkEnd w:id="22"/>
      <w:bookmarkEnd w:id="23"/>
      <w:bookmarkEnd w:id="24"/>
      <w:r>
        <w:rPr>
          <w:color w:val="auto"/>
          <w:sz w:val="32"/>
          <w:szCs w:val="32"/>
        </w:rPr>
        <w:t>标准</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依据山东省畜牧兽医局、山东省环境保护厅《关于公布畜禽养殖场（养殖小区）规模标准的通知》（鲁牧畜科发〔2017〕4号），</w:t>
      </w:r>
      <w:r>
        <w:rPr>
          <w:rFonts w:hint="eastAsia" w:ascii="Times New Roman" w:hAnsi="Times New Roman" w:cs="Times New Roman"/>
          <w:color w:val="auto"/>
          <w:sz w:val="32"/>
          <w:szCs w:val="32"/>
        </w:rPr>
        <w:t>目前</w:t>
      </w:r>
      <w:r>
        <w:rPr>
          <w:rFonts w:ascii="Times New Roman" w:hAnsi="Times New Roman" w:cs="Times New Roman"/>
          <w:color w:val="auto"/>
          <w:sz w:val="32"/>
          <w:szCs w:val="32"/>
        </w:rPr>
        <w:t>山东省畜禽养殖场（养殖小区）</w:t>
      </w:r>
      <w:r>
        <w:rPr>
          <w:rFonts w:hint="eastAsia" w:ascii="Times New Roman" w:hAnsi="Times New Roman" w:cs="Times New Roman"/>
          <w:color w:val="auto"/>
          <w:sz w:val="32"/>
          <w:szCs w:val="32"/>
        </w:rPr>
        <w:t>规模</w:t>
      </w:r>
      <w:r>
        <w:rPr>
          <w:rFonts w:ascii="Times New Roman" w:hAnsi="Times New Roman" w:cs="Times New Roman"/>
          <w:color w:val="auto"/>
          <w:sz w:val="32"/>
          <w:szCs w:val="32"/>
        </w:rPr>
        <w:t>标准为：生猪年出栏量500头以上、奶牛存栏量100头以上、肉鸡/肉鸭年出栏量50000只以上、蛋鸡/蛋鸭存栏量10000只以上、肉牛年出栏量100头以上、羊年出栏量500只以上、兔存栏量3000只以上，其他畜禽由各设区市根据本地实际确定。</w:t>
      </w:r>
    </w:p>
    <w:p>
      <w:pPr>
        <w:pStyle w:val="5"/>
        <w:keepNext w:val="0"/>
        <w:keepLines w:val="0"/>
        <w:widowControl w:val="0"/>
        <w:spacing w:beforeLines="0" w:afterLines="0" w:line="580" w:lineRule="exact"/>
        <w:ind w:firstLine="643" w:firstLineChars="200"/>
        <w:jc w:val="both"/>
        <w:rPr>
          <w:color w:val="auto"/>
          <w:sz w:val="32"/>
          <w:szCs w:val="32"/>
        </w:rPr>
      </w:pPr>
      <w:bookmarkStart w:id="25" w:name="_Toc11104"/>
      <w:bookmarkStart w:id="26" w:name="_Toc117788549"/>
      <w:bookmarkStart w:id="27" w:name="_Toc117837723"/>
      <w:bookmarkStart w:id="28" w:name="_Toc112078479"/>
      <w:r>
        <w:rPr>
          <w:color w:val="auto"/>
          <w:sz w:val="32"/>
          <w:szCs w:val="32"/>
        </w:rPr>
        <w:t>1.4.2畜禽养殖</w:t>
      </w:r>
      <w:bookmarkEnd w:id="25"/>
      <w:bookmarkEnd w:id="26"/>
      <w:bookmarkEnd w:id="27"/>
      <w:bookmarkEnd w:id="28"/>
      <w:r>
        <w:rPr>
          <w:rFonts w:hint="eastAsia"/>
          <w:color w:val="auto"/>
          <w:sz w:val="32"/>
          <w:szCs w:val="32"/>
        </w:rPr>
        <w:t>专业户</w:t>
      </w:r>
      <w:r>
        <w:rPr>
          <w:color w:val="auto"/>
          <w:sz w:val="32"/>
          <w:szCs w:val="32"/>
        </w:rPr>
        <w:t>标准</w:t>
      </w:r>
    </w:p>
    <w:p>
      <w:pPr>
        <w:widowControl w:val="0"/>
        <w:spacing w:line="580" w:lineRule="exact"/>
        <w:ind w:firstLine="640"/>
        <w:jc w:val="both"/>
        <w:rPr>
          <w:rFonts w:ascii="Times New Roman" w:hAnsi="Times New Roman" w:cs="Times New Roman"/>
          <w:color w:val="auto"/>
          <w:sz w:val="32"/>
          <w:szCs w:val="32"/>
        </w:rPr>
        <w:sectPr>
          <w:headerReference r:id="rId11" w:type="default"/>
          <w:footerReference r:id="rId12" w:type="default"/>
          <w:pgSz w:w="11906" w:h="16838"/>
          <w:pgMar w:top="1985" w:right="1531" w:bottom="1814" w:left="1531" w:header="720" w:footer="1304" w:gutter="0"/>
          <w:pgNumType w:start="1"/>
          <w:cols w:space="0" w:num="1"/>
          <w:docGrid w:linePitch="381" w:charSpace="0"/>
        </w:sectPr>
      </w:pPr>
      <w:r>
        <w:rPr>
          <w:rFonts w:ascii="Times New Roman" w:hAnsi="Times New Roman" w:cs="Times New Roman"/>
          <w:color w:val="auto"/>
          <w:sz w:val="32"/>
          <w:szCs w:val="32"/>
        </w:rPr>
        <w:t>按照《山东省规模以下畜禽养殖污染防治和粪污资源化利用技术指南（试行）》（鲁牧畜发〔2021〕8号），</w:t>
      </w:r>
      <w:r>
        <w:rPr>
          <w:rFonts w:hint="eastAsia" w:ascii="Times New Roman" w:hAnsi="Times New Roman" w:cs="Times New Roman"/>
          <w:color w:val="auto"/>
          <w:sz w:val="32"/>
          <w:szCs w:val="32"/>
        </w:rPr>
        <w:t>目前山东省畜禽养殖专业户</w:t>
      </w:r>
      <w:r>
        <w:rPr>
          <w:rFonts w:ascii="Times New Roman" w:hAnsi="Times New Roman" w:cs="Times New Roman"/>
          <w:color w:val="auto"/>
          <w:sz w:val="32"/>
          <w:szCs w:val="32"/>
        </w:rPr>
        <w:t>标准参照《山东省畜牧兽医局山东省环境保护厅关于畜禽养殖</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标准等有关问题的复函》（鲁牧畜科发〔2017〕11号）等要求：50头＜生猪年出栏量＜500头、5头＜奶牛存栏量＜100头、2000只＜肉鸡年出栏量＜40000只、2000只＜肉鸭年出栏量＜50000只、500只＜蛋鸡/蛋鸭存栏量＜10000只、10头＜肉牛年出栏量＜100头、50只＜羊年出栏量＜500只、300只＜兔存栏量＜3000只</w:t>
      </w:r>
      <w:r>
        <w:rPr>
          <w:rFonts w:hint="eastAsia" w:ascii="Times New Roman" w:hAnsi="Times New Roman" w:cs="Times New Roman"/>
          <w:color w:val="auto"/>
          <w:sz w:val="32"/>
          <w:szCs w:val="32"/>
        </w:rPr>
        <w:t>，</w:t>
      </w:r>
      <w:r>
        <w:rPr>
          <w:rFonts w:ascii="Times New Roman" w:hAnsi="Times New Roman" w:cs="Times New Roman"/>
          <w:color w:val="auto"/>
          <w:sz w:val="32"/>
          <w:szCs w:val="32"/>
        </w:rPr>
        <w:t>其他畜禽种类</w:t>
      </w:r>
      <w:r>
        <w:rPr>
          <w:rFonts w:hint="eastAsia" w:ascii="Times New Roman" w:hAnsi="Times New Roman" w:cs="Times New Roman"/>
          <w:color w:val="auto"/>
          <w:sz w:val="32"/>
          <w:szCs w:val="32"/>
        </w:rPr>
        <w:t>养殖专业户</w:t>
      </w:r>
      <w:r>
        <w:rPr>
          <w:rFonts w:ascii="Times New Roman" w:hAnsi="Times New Roman" w:cs="Times New Roman"/>
          <w:color w:val="auto"/>
          <w:sz w:val="32"/>
          <w:szCs w:val="32"/>
        </w:rPr>
        <w:t>标准由各设区市结合实际确定。</w:t>
      </w:r>
    </w:p>
    <w:p>
      <w:pPr>
        <w:pStyle w:val="3"/>
        <w:keepNext w:val="0"/>
        <w:keepLines w:val="0"/>
        <w:widowControl w:val="0"/>
        <w:spacing w:after="0" w:line="580" w:lineRule="exact"/>
        <w:ind w:left="0" w:right="0" w:firstLine="643"/>
        <w:jc w:val="both"/>
        <w:rPr>
          <w:rFonts w:ascii="Times New Roman" w:hAnsi="Times New Roman" w:eastAsia="黑体" w:cs="Times New Roman"/>
          <w:b/>
          <w:color w:val="auto"/>
          <w:kern w:val="44"/>
          <w:sz w:val="32"/>
          <w:szCs w:val="32"/>
          <w:lang w:val="en-GB"/>
        </w:rPr>
      </w:pPr>
      <w:bookmarkStart w:id="29" w:name="_Toc16566"/>
      <w:r>
        <w:rPr>
          <w:rFonts w:hint="eastAsia" w:ascii="Times New Roman" w:hAnsi="Times New Roman" w:eastAsia="黑体" w:cs="Times New Roman"/>
          <w:b/>
          <w:color w:val="auto"/>
          <w:kern w:val="44"/>
          <w:sz w:val="32"/>
          <w:szCs w:val="32"/>
        </w:rPr>
        <w:t>2</w:t>
      </w:r>
      <w:r>
        <w:rPr>
          <w:rFonts w:ascii="Times New Roman" w:hAnsi="Times New Roman" w:eastAsia="黑体" w:cs="Times New Roman"/>
          <w:b/>
          <w:color w:val="auto"/>
          <w:kern w:val="44"/>
          <w:sz w:val="32"/>
          <w:szCs w:val="32"/>
          <w:lang w:val="en-GB"/>
        </w:rPr>
        <w:t>区域概况</w:t>
      </w:r>
      <w:bookmarkEnd w:id="29"/>
    </w:p>
    <w:p>
      <w:pPr>
        <w:pStyle w:val="4"/>
        <w:spacing w:beforeLines="0" w:afterLines="0" w:line="580" w:lineRule="exact"/>
        <w:ind w:firstLine="641"/>
        <w:jc w:val="both"/>
        <w:rPr>
          <w:rFonts w:hint="eastAsia" w:ascii="楷体_GB2312" w:eastAsia="楷体_GB2312"/>
          <w:color w:val="auto"/>
          <w:sz w:val="32"/>
          <w:szCs w:val="32"/>
        </w:rPr>
      </w:pPr>
      <w:bookmarkStart w:id="30" w:name="_Toc31023"/>
      <w:r>
        <w:rPr>
          <w:rFonts w:eastAsia="华文楷体"/>
          <w:color w:val="auto"/>
          <w:sz w:val="32"/>
          <w:szCs w:val="32"/>
        </w:rPr>
        <w:t>2.1</w:t>
      </w:r>
      <w:r>
        <w:rPr>
          <w:rFonts w:hint="eastAsia" w:ascii="楷体_GB2312" w:eastAsia="楷体_GB2312"/>
          <w:color w:val="auto"/>
          <w:sz w:val="32"/>
          <w:szCs w:val="32"/>
        </w:rPr>
        <w:t>自然条件概况</w:t>
      </w:r>
      <w:bookmarkEnd w:id="30"/>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2.1.1地</w:t>
      </w:r>
      <w:r>
        <w:rPr>
          <w:rFonts w:hint="eastAsia"/>
          <w:color w:val="auto"/>
          <w:sz w:val="32"/>
          <w:szCs w:val="32"/>
        </w:rPr>
        <w:t>理位置</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位于山东省中部，济南市的西南部，距济南市区22km，东与历城区、市中区接壤，西与德州市齐河县隔黄河相望，南与平阴县相邻，北邻槐荫区，是山东省会济南西部新城区。地跨东经116°30′38"～117°4′14"，北纬36°14′37"～37°41′50"，区境自北向南横向渐宽，呈三角形，南北最长为50.3km，东西最长为50.8km，总面积</w:t>
      </w:r>
      <w:r>
        <w:rPr>
          <w:rFonts w:hint="eastAsia" w:ascii="Times New Roman" w:hAnsi="Times New Roman" w:cs="Times New Roman"/>
          <w:color w:val="auto"/>
          <w:sz w:val="32"/>
          <w:szCs w:val="32"/>
        </w:rPr>
        <w:t>1209</w:t>
      </w:r>
      <w:r>
        <w:rPr>
          <w:rFonts w:ascii="Times New Roman" w:hAnsi="Times New Roman" w:cs="Times New Roman"/>
          <w:color w:val="auto"/>
          <w:sz w:val="32"/>
          <w:szCs w:val="32"/>
        </w:rPr>
        <w:t>km</w:t>
      </w:r>
      <w:r>
        <w:rPr>
          <w:rFonts w:ascii="Times New Roman" w:hAnsi="Times New Roman" w:cs="Times New Roman"/>
          <w:color w:val="auto"/>
          <w:sz w:val="32"/>
          <w:szCs w:val="32"/>
          <w:vertAlign w:val="superscript"/>
        </w:rPr>
        <w:t>2</w:t>
      </w:r>
      <w:r>
        <w:rPr>
          <w:rFonts w:ascii="Times New Roman" w:hAnsi="Times New Roman" w:cs="Times New Roman"/>
          <w:color w:val="auto"/>
          <w:sz w:val="32"/>
          <w:szCs w:val="32"/>
        </w:rPr>
        <w:t>，辖有8个街道、2个镇。</w:t>
      </w:r>
    </w:p>
    <w:p>
      <w:pPr>
        <w:pStyle w:val="5"/>
        <w:keepNext w:val="0"/>
        <w:keepLines w:val="0"/>
        <w:widowControl w:val="0"/>
        <w:spacing w:beforeLines="0" w:afterLines="0" w:line="580" w:lineRule="exact"/>
        <w:ind w:firstLine="643" w:firstLineChars="200"/>
        <w:jc w:val="both"/>
        <w:rPr>
          <w:color w:val="auto"/>
          <w:sz w:val="32"/>
          <w:szCs w:val="32"/>
        </w:rPr>
      </w:pPr>
      <w:bookmarkStart w:id="31" w:name="_Toc117788552"/>
      <w:bookmarkStart w:id="32" w:name="_Toc8481"/>
      <w:bookmarkStart w:id="33" w:name="_Toc112078482"/>
      <w:bookmarkStart w:id="34" w:name="_Toc117837726"/>
      <w:r>
        <w:rPr>
          <w:color w:val="auto"/>
          <w:sz w:val="32"/>
          <w:szCs w:val="32"/>
        </w:rPr>
        <w:t>2.1.</w:t>
      </w:r>
      <w:r>
        <w:rPr>
          <w:rFonts w:hint="eastAsia"/>
          <w:color w:val="auto"/>
          <w:sz w:val="32"/>
          <w:szCs w:val="32"/>
        </w:rPr>
        <w:t>2</w:t>
      </w:r>
      <w:r>
        <w:rPr>
          <w:color w:val="auto"/>
          <w:sz w:val="32"/>
          <w:szCs w:val="32"/>
        </w:rPr>
        <w:t>地形地貌</w:t>
      </w:r>
      <w:bookmarkEnd w:id="31"/>
      <w:bookmarkEnd w:id="32"/>
      <w:bookmarkEnd w:id="33"/>
      <w:bookmarkEnd w:id="34"/>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东南依泰山，西北濒黄河，形成东南高西北低的倾斜地势，由东南向西北依次为山区丘陵、山前平原和沿黄洼地。山区丘陵属泰山余脉，山岭起伏，沟壑纵横，平均海拔在200m以上，地面坡度大于10°；山丘低凹处，河谷横切，成为南、北大沙河和清水沟的发源地；山区丘陵，土薄水贫，占全县总面积的75.6%。山前平原呈条形，长22km，宽5km，地面高程在40~100m之间，坡度约为1/300；山前平原土层厚，土质肥沃，水资源相对丰富，占全区总面积的10.7%。沿黄洼地因黄河淤积形成槽形洼地，地面高程在29.4~40m之间，为黄河滞洪区，占全区总面积的13.7%。</w:t>
      </w:r>
      <w:bookmarkStart w:id="35" w:name="_Toc117837727"/>
      <w:bookmarkStart w:id="36" w:name="_Toc117788553"/>
      <w:bookmarkStart w:id="37" w:name="_Toc2136"/>
      <w:bookmarkStart w:id="38" w:name="_Toc112078483"/>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2.1.</w:t>
      </w:r>
      <w:r>
        <w:rPr>
          <w:rFonts w:hint="eastAsia"/>
          <w:color w:val="auto"/>
          <w:sz w:val="32"/>
          <w:szCs w:val="32"/>
        </w:rPr>
        <w:t>3</w:t>
      </w:r>
      <w:r>
        <w:rPr>
          <w:color w:val="auto"/>
          <w:sz w:val="32"/>
          <w:szCs w:val="32"/>
        </w:rPr>
        <w:t>气候气象</w:t>
      </w:r>
      <w:bookmarkEnd w:id="35"/>
      <w:bookmarkEnd w:id="36"/>
      <w:bookmarkEnd w:id="37"/>
      <w:bookmarkEnd w:id="38"/>
    </w:p>
    <w:p>
      <w:pPr>
        <w:widowControl w:val="0"/>
        <w:adjustRightInd/>
        <w:spacing w:line="580" w:lineRule="exact"/>
        <w:ind w:firstLine="643"/>
        <w:jc w:val="both"/>
        <w:rPr>
          <w:rFonts w:ascii="Times New Roman" w:hAnsi="Times New Roman" w:cs="Times New Roman"/>
          <w:color w:val="auto"/>
          <w:sz w:val="32"/>
          <w:szCs w:val="32"/>
        </w:rPr>
      </w:pPr>
      <w:r>
        <w:rPr>
          <w:rFonts w:ascii="Times New Roman" w:hAnsi="Times New Roman" w:cs="Times New Roman"/>
          <w:b/>
          <w:bCs/>
          <w:color w:val="auto"/>
          <w:sz w:val="32"/>
          <w:szCs w:val="32"/>
        </w:rPr>
        <w:t>气候：</w:t>
      </w:r>
      <w:r>
        <w:rPr>
          <w:rFonts w:hint="eastAsia" w:ascii="Times New Roman" w:hAnsi="Times New Roman" w:cs="Times New Roman"/>
          <w:color w:val="auto"/>
          <w:sz w:val="32"/>
          <w:szCs w:val="32"/>
        </w:rPr>
        <w:t>长清区</w:t>
      </w:r>
      <w:r>
        <w:rPr>
          <w:rFonts w:ascii="Times New Roman" w:hAnsi="Times New Roman" w:cs="Times New Roman"/>
          <w:color w:val="auto"/>
          <w:sz w:val="32"/>
          <w:szCs w:val="32"/>
        </w:rPr>
        <w:t>属暖温带大陆性半湿润季风气候，四季分明</w:t>
      </w:r>
      <w:r>
        <w:rPr>
          <w:rFonts w:hint="eastAsia" w:ascii="Times New Roman" w:hAnsi="Times New Roman" w:cs="Times New Roman"/>
          <w:color w:val="auto"/>
          <w:sz w:val="32"/>
          <w:szCs w:val="32"/>
        </w:rPr>
        <w:t>，</w:t>
      </w:r>
      <w:r>
        <w:rPr>
          <w:rFonts w:ascii="Times New Roman" w:hAnsi="Times New Roman" w:cs="Times New Roman"/>
          <w:color w:val="auto"/>
          <w:sz w:val="32"/>
          <w:szCs w:val="32"/>
        </w:rPr>
        <w:t>春季气温升高较快，多干旱</w:t>
      </w:r>
      <w:r>
        <w:rPr>
          <w:rFonts w:hint="eastAsia" w:ascii="Times New Roman" w:hAnsi="Times New Roman" w:cs="Times New Roman"/>
          <w:color w:val="auto"/>
          <w:sz w:val="32"/>
          <w:szCs w:val="32"/>
        </w:rPr>
        <w:t>；</w:t>
      </w:r>
      <w:r>
        <w:rPr>
          <w:rFonts w:ascii="Times New Roman" w:hAnsi="Times New Roman" w:cs="Times New Roman"/>
          <w:color w:val="auto"/>
          <w:sz w:val="32"/>
          <w:szCs w:val="32"/>
        </w:rPr>
        <w:t>夏季炎热多雨</w:t>
      </w:r>
      <w:r>
        <w:rPr>
          <w:rFonts w:hint="eastAsia" w:ascii="Times New Roman" w:hAnsi="Times New Roman" w:cs="Times New Roman"/>
          <w:color w:val="auto"/>
          <w:sz w:val="32"/>
          <w:szCs w:val="32"/>
        </w:rPr>
        <w:t>；</w:t>
      </w:r>
      <w:r>
        <w:rPr>
          <w:rFonts w:ascii="Times New Roman" w:hAnsi="Times New Roman" w:cs="Times New Roman"/>
          <w:color w:val="auto"/>
          <w:sz w:val="32"/>
          <w:szCs w:val="32"/>
        </w:rPr>
        <w:t>秋季</w:t>
      </w:r>
      <w:r>
        <w:rPr>
          <w:rFonts w:hint="eastAsia" w:ascii="Times New Roman" w:hAnsi="Times New Roman" w:cs="Times New Roman"/>
          <w:color w:val="auto"/>
          <w:sz w:val="32"/>
          <w:szCs w:val="32"/>
        </w:rPr>
        <w:t>凉爽干燥；</w:t>
      </w:r>
      <w:r>
        <w:rPr>
          <w:rFonts w:ascii="Times New Roman" w:hAnsi="Times New Roman" w:cs="Times New Roman"/>
          <w:color w:val="auto"/>
          <w:sz w:val="32"/>
          <w:szCs w:val="32"/>
        </w:rPr>
        <w:t>冬季寒冷、少雨雪。</w:t>
      </w:r>
    </w:p>
    <w:p>
      <w:pPr>
        <w:widowControl w:val="0"/>
        <w:adjustRightInd/>
        <w:spacing w:line="580" w:lineRule="exact"/>
        <w:ind w:firstLine="643"/>
        <w:jc w:val="both"/>
        <w:rPr>
          <w:rFonts w:ascii="Times New Roman" w:hAnsi="Times New Roman" w:cs="Times New Roman"/>
          <w:color w:val="auto"/>
          <w:sz w:val="32"/>
          <w:szCs w:val="32"/>
        </w:rPr>
      </w:pPr>
      <w:r>
        <w:rPr>
          <w:rFonts w:ascii="Times New Roman" w:hAnsi="Times New Roman" w:cs="Times New Roman"/>
          <w:b/>
          <w:bCs/>
          <w:color w:val="auto"/>
          <w:sz w:val="32"/>
          <w:szCs w:val="32"/>
        </w:rPr>
        <w:t>气温：</w:t>
      </w:r>
      <w:r>
        <w:rPr>
          <w:rFonts w:ascii="Times New Roman" w:hAnsi="Times New Roman" w:cs="Times New Roman"/>
          <w:color w:val="auto"/>
          <w:sz w:val="32"/>
          <w:szCs w:val="32"/>
        </w:rPr>
        <w:t>年平均气温为13.5℃，其年际变化范围在12.8℃～14.5℃之间。1月份最冷，多年月平均气温为－1.77℃，7月份最热，多年月平均气温为26.5℃。年极端最高气温为40.5℃，年极端最低气温为零下20.5℃。</w:t>
      </w:r>
    </w:p>
    <w:p>
      <w:pPr>
        <w:widowControl w:val="0"/>
        <w:adjustRightInd/>
        <w:spacing w:line="580" w:lineRule="exact"/>
        <w:ind w:firstLine="643"/>
        <w:jc w:val="both"/>
        <w:rPr>
          <w:rFonts w:ascii="Times New Roman" w:hAnsi="Times New Roman" w:cs="Times New Roman"/>
          <w:color w:val="auto"/>
          <w:sz w:val="32"/>
          <w:szCs w:val="32"/>
        </w:rPr>
      </w:pPr>
      <w:r>
        <w:rPr>
          <w:rFonts w:ascii="Times New Roman" w:hAnsi="Times New Roman" w:cs="Times New Roman"/>
          <w:b/>
          <w:bCs/>
          <w:color w:val="auto"/>
          <w:sz w:val="32"/>
          <w:szCs w:val="32"/>
        </w:rPr>
        <w:t>降水量：</w:t>
      </w:r>
      <w:r>
        <w:rPr>
          <w:rFonts w:ascii="Times New Roman" w:hAnsi="Times New Roman" w:cs="Times New Roman"/>
          <w:color w:val="auto"/>
          <w:sz w:val="32"/>
          <w:szCs w:val="32"/>
        </w:rPr>
        <w:t>多年平均降水量为665.7mm，年际变化范围302.7mm～1051.1mm之间。降水多集中于7、8、9月份，占全年降水量的70%。</w:t>
      </w:r>
    </w:p>
    <w:p>
      <w:pPr>
        <w:widowControl w:val="0"/>
        <w:adjustRightInd/>
        <w:spacing w:line="580" w:lineRule="exact"/>
        <w:ind w:firstLine="643"/>
        <w:jc w:val="both"/>
        <w:rPr>
          <w:rFonts w:ascii="Times New Roman" w:hAnsi="Times New Roman" w:cs="Times New Roman"/>
          <w:color w:val="auto"/>
          <w:sz w:val="32"/>
          <w:szCs w:val="32"/>
        </w:rPr>
      </w:pPr>
      <w:r>
        <w:rPr>
          <w:rFonts w:ascii="Times New Roman" w:hAnsi="Times New Roman" w:cs="Times New Roman"/>
          <w:b/>
          <w:bCs/>
          <w:color w:val="auto"/>
          <w:sz w:val="32"/>
          <w:szCs w:val="32"/>
        </w:rPr>
        <w:t>日照：</w:t>
      </w:r>
      <w:r>
        <w:rPr>
          <w:rFonts w:ascii="Times New Roman" w:hAnsi="Times New Roman" w:cs="Times New Roman"/>
          <w:color w:val="auto"/>
          <w:sz w:val="32"/>
          <w:szCs w:val="32"/>
        </w:rPr>
        <w:t>光热资源丰富，年平均日照时数为2598.5小时，年际变化范围在2254.2～2897.9之间。霜冻期一般在10月初至翌年3月中旬，年平均无霜日数为212.1天，年际变化范围在183～255天之间。</w:t>
      </w:r>
    </w:p>
    <w:p>
      <w:pPr>
        <w:pStyle w:val="5"/>
        <w:keepNext w:val="0"/>
        <w:keepLines w:val="0"/>
        <w:widowControl w:val="0"/>
        <w:spacing w:beforeLines="0" w:afterLines="0" w:line="580" w:lineRule="exact"/>
        <w:ind w:firstLine="643" w:firstLineChars="200"/>
        <w:jc w:val="both"/>
        <w:rPr>
          <w:color w:val="auto"/>
          <w:sz w:val="32"/>
          <w:szCs w:val="32"/>
        </w:rPr>
      </w:pPr>
      <w:bookmarkStart w:id="39" w:name="_Toc117788554"/>
      <w:bookmarkStart w:id="40" w:name="_Toc14895"/>
      <w:bookmarkStart w:id="41" w:name="_Toc117837728"/>
      <w:bookmarkStart w:id="42" w:name="_Toc112078484"/>
      <w:r>
        <w:rPr>
          <w:color w:val="auto"/>
          <w:sz w:val="32"/>
          <w:szCs w:val="32"/>
        </w:rPr>
        <w:t>2.1.</w:t>
      </w:r>
      <w:r>
        <w:rPr>
          <w:rFonts w:hint="eastAsia"/>
          <w:color w:val="auto"/>
          <w:sz w:val="32"/>
          <w:szCs w:val="32"/>
        </w:rPr>
        <w:t>4</w:t>
      </w:r>
      <w:r>
        <w:rPr>
          <w:color w:val="auto"/>
          <w:sz w:val="32"/>
          <w:szCs w:val="32"/>
        </w:rPr>
        <w:t>河流水系</w:t>
      </w:r>
      <w:bookmarkEnd w:id="39"/>
      <w:bookmarkEnd w:id="40"/>
      <w:bookmarkEnd w:id="41"/>
      <w:bookmarkEnd w:id="42"/>
    </w:p>
    <w:p>
      <w:pPr>
        <w:widowControl w:val="0"/>
        <w:adjustRightInd/>
        <w:spacing w:line="580" w:lineRule="exact"/>
        <w:ind w:firstLine="640"/>
        <w:jc w:val="both"/>
        <w:rPr>
          <w:rFonts w:ascii="Times New Roman" w:hAnsi="Times New Roman" w:cs="Times New Roman"/>
          <w:color w:val="auto"/>
          <w:sz w:val="32"/>
          <w:szCs w:val="32"/>
        </w:rPr>
      </w:pPr>
      <w:bookmarkStart w:id="43" w:name="_Toc117788555"/>
      <w:bookmarkStart w:id="44" w:name="_Toc117837729"/>
      <w:bookmarkStart w:id="45" w:name="_Toc112078485"/>
      <w:bookmarkStart w:id="46" w:name="_Toc31464"/>
      <w:r>
        <w:rPr>
          <w:rFonts w:ascii="Times New Roman" w:hAnsi="Times New Roman" w:cs="Times New Roman"/>
          <w:color w:val="auto"/>
          <w:sz w:val="32"/>
          <w:szCs w:val="32"/>
        </w:rPr>
        <w:t>长清区属黄河流域、南北沙河水系，主要河流有黄河、南</w:t>
      </w:r>
      <w:r>
        <w:rPr>
          <w:rFonts w:hint="eastAsia" w:ascii="Times New Roman" w:hAnsi="Times New Roman" w:cs="Times New Roman"/>
          <w:color w:val="auto"/>
          <w:sz w:val="32"/>
          <w:szCs w:val="32"/>
        </w:rPr>
        <w:t>大</w:t>
      </w:r>
      <w:r>
        <w:rPr>
          <w:rFonts w:ascii="Times New Roman" w:hAnsi="Times New Roman" w:cs="Times New Roman"/>
          <w:color w:val="auto"/>
          <w:sz w:val="32"/>
          <w:szCs w:val="32"/>
        </w:rPr>
        <w:t>沙河、北</w:t>
      </w:r>
      <w:r>
        <w:rPr>
          <w:rFonts w:hint="eastAsia" w:ascii="Times New Roman" w:hAnsi="Times New Roman" w:cs="Times New Roman"/>
          <w:color w:val="auto"/>
          <w:sz w:val="32"/>
          <w:szCs w:val="32"/>
        </w:rPr>
        <w:t>大</w:t>
      </w:r>
      <w:r>
        <w:rPr>
          <w:rFonts w:ascii="Times New Roman" w:hAnsi="Times New Roman" w:cs="Times New Roman"/>
          <w:color w:val="auto"/>
          <w:sz w:val="32"/>
          <w:szCs w:val="32"/>
        </w:rPr>
        <w:t>沙河、玉符河和清水沟</w:t>
      </w:r>
      <w:r>
        <w:rPr>
          <w:rFonts w:hint="eastAsia" w:ascii="Times New Roman" w:hAnsi="Times New Roman" w:cs="Times New Roman"/>
          <w:color w:val="auto"/>
          <w:sz w:val="32"/>
          <w:szCs w:val="32"/>
        </w:rPr>
        <w:t>。</w:t>
      </w:r>
      <w:r>
        <w:rPr>
          <w:rFonts w:ascii="Times New Roman" w:hAnsi="Times New Roman" w:cs="Times New Roman"/>
          <w:color w:val="auto"/>
          <w:sz w:val="32"/>
          <w:szCs w:val="32"/>
        </w:rPr>
        <w:t>黄河是</w:t>
      </w:r>
      <w:r>
        <w:rPr>
          <w:rFonts w:hint="eastAsia" w:ascii="Times New Roman" w:hAnsi="Times New Roman" w:cs="Times New Roman"/>
          <w:color w:val="auto"/>
          <w:sz w:val="32"/>
          <w:szCs w:val="32"/>
        </w:rPr>
        <w:t>长清区西部的边境河流，</w:t>
      </w:r>
      <w:r>
        <w:rPr>
          <w:rFonts w:ascii="Times New Roman" w:hAnsi="Times New Roman" w:cs="Times New Roman"/>
          <w:color w:val="auto"/>
          <w:sz w:val="32"/>
          <w:szCs w:val="32"/>
        </w:rPr>
        <w:t>境内河段长52km，河床宽500</w:t>
      </w:r>
      <w:r>
        <w:rPr>
          <w:rFonts w:hint="eastAsia" w:ascii="Times New Roman" w:hAnsi="Times New Roman" w:cs="Times New Roman"/>
          <w:color w:val="auto"/>
          <w:sz w:val="32"/>
          <w:szCs w:val="32"/>
        </w:rPr>
        <w:t>~</w:t>
      </w:r>
      <w:r>
        <w:rPr>
          <w:rFonts w:ascii="Times New Roman" w:hAnsi="Times New Roman" w:cs="Times New Roman"/>
          <w:color w:val="auto"/>
          <w:sz w:val="32"/>
          <w:szCs w:val="32"/>
        </w:rPr>
        <w:t>1500m</w:t>
      </w:r>
      <w:r>
        <w:rPr>
          <w:rFonts w:hint="eastAsia" w:ascii="Times New Roman" w:hAnsi="Times New Roman" w:cs="Times New Roman"/>
          <w:color w:val="auto"/>
          <w:sz w:val="32"/>
          <w:szCs w:val="32"/>
        </w:rPr>
        <w:t>；</w:t>
      </w:r>
      <w:r>
        <w:rPr>
          <w:rFonts w:ascii="Times New Roman" w:hAnsi="Times New Roman" w:cs="Times New Roman"/>
          <w:color w:val="auto"/>
          <w:sz w:val="32"/>
          <w:szCs w:val="32"/>
        </w:rPr>
        <w:t>北</w:t>
      </w:r>
      <w:r>
        <w:rPr>
          <w:rFonts w:hint="eastAsia" w:ascii="Times New Roman" w:hAnsi="Times New Roman" w:cs="Times New Roman"/>
          <w:color w:val="auto"/>
          <w:sz w:val="32"/>
          <w:szCs w:val="32"/>
        </w:rPr>
        <w:t>大</w:t>
      </w:r>
      <w:r>
        <w:rPr>
          <w:rFonts w:ascii="Times New Roman" w:hAnsi="Times New Roman" w:cs="Times New Roman"/>
          <w:color w:val="auto"/>
          <w:sz w:val="32"/>
          <w:szCs w:val="32"/>
        </w:rPr>
        <w:t>沙河</w:t>
      </w:r>
      <w:r>
        <w:rPr>
          <w:rFonts w:hint="eastAsia" w:ascii="Times New Roman" w:hAnsi="Times New Roman" w:cs="Times New Roman"/>
          <w:color w:val="auto"/>
          <w:sz w:val="32"/>
          <w:szCs w:val="32"/>
        </w:rPr>
        <w:t>经平安街道老王府村西流入黄河</w:t>
      </w:r>
      <w:r>
        <w:rPr>
          <w:rFonts w:ascii="Times New Roman" w:hAnsi="Times New Roman" w:cs="Times New Roman"/>
          <w:color w:val="auto"/>
          <w:sz w:val="32"/>
          <w:szCs w:val="32"/>
        </w:rPr>
        <w:t>，主河全长</w:t>
      </w:r>
      <w:r>
        <w:rPr>
          <w:rFonts w:hint="eastAsia" w:ascii="Times New Roman" w:hAnsi="Times New Roman" w:cs="Times New Roman"/>
          <w:color w:val="auto"/>
          <w:sz w:val="32"/>
          <w:szCs w:val="32"/>
        </w:rPr>
        <w:t>68</w:t>
      </w:r>
      <w:r>
        <w:rPr>
          <w:rFonts w:ascii="Times New Roman" w:hAnsi="Times New Roman" w:cs="Times New Roman"/>
          <w:color w:val="auto"/>
          <w:sz w:val="32"/>
          <w:szCs w:val="32"/>
        </w:rPr>
        <w:t>km，流域面积584.6km</w:t>
      </w:r>
      <w:r>
        <w:rPr>
          <w:rFonts w:ascii="Times New Roman" w:hAnsi="Times New Roman" w:cs="Times New Roman"/>
          <w:color w:val="auto"/>
          <w:sz w:val="32"/>
          <w:szCs w:val="32"/>
          <w:vertAlign w:val="superscript"/>
        </w:rPr>
        <w:t>2</w:t>
      </w:r>
      <w:r>
        <w:rPr>
          <w:rFonts w:hint="eastAsia" w:ascii="Times New Roman" w:hAnsi="Times New Roman" w:cs="Times New Roman"/>
          <w:color w:val="auto"/>
          <w:sz w:val="32"/>
          <w:szCs w:val="32"/>
        </w:rPr>
        <w:t>；</w:t>
      </w:r>
      <w:r>
        <w:rPr>
          <w:rFonts w:ascii="Times New Roman" w:hAnsi="Times New Roman" w:cs="Times New Roman"/>
          <w:color w:val="auto"/>
          <w:sz w:val="32"/>
          <w:szCs w:val="32"/>
        </w:rPr>
        <w:t>南大沙河</w:t>
      </w:r>
      <w:r>
        <w:rPr>
          <w:rFonts w:hint="eastAsia" w:ascii="Times New Roman" w:hAnsi="Times New Roman" w:cs="Times New Roman"/>
          <w:color w:val="auto"/>
          <w:sz w:val="32"/>
          <w:szCs w:val="32"/>
        </w:rPr>
        <w:t>经归德街道董庄流入黄河，</w:t>
      </w:r>
      <w:r>
        <w:rPr>
          <w:rFonts w:ascii="Times New Roman" w:hAnsi="Times New Roman" w:cs="Times New Roman"/>
          <w:color w:val="auto"/>
          <w:sz w:val="32"/>
          <w:szCs w:val="32"/>
        </w:rPr>
        <w:t>主河道全长</w:t>
      </w:r>
      <w:r>
        <w:rPr>
          <w:rFonts w:hint="eastAsia" w:ascii="Times New Roman" w:hAnsi="Times New Roman" w:cs="Times New Roman"/>
          <w:color w:val="auto"/>
          <w:sz w:val="32"/>
          <w:szCs w:val="32"/>
        </w:rPr>
        <w:t>42</w:t>
      </w:r>
      <w:r>
        <w:rPr>
          <w:rFonts w:ascii="Times New Roman" w:hAnsi="Times New Roman" w:cs="Times New Roman"/>
          <w:color w:val="auto"/>
          <w:sz w:val="32"/>
          <w:szCs w:val="32"/>
        </w:rPr>
        <w:t>km</w:t>
      </w:r>
      <w:r>
        <w:rPr>
          <w:rFonts w:hint="eastAsia" w:ascii="Times New Roman" w:hAnsi="Times New Roman" w:cs="Times New Roman"/>
          <w:color w:val="auto"/>
          <w:sz w:val="32"/>
          <w:szCs w:val="32"/>
        </w:rPr>
        <w:t>，</w:t>
      </w:r>
      <w:r>
        <w:rPr>
          <w:rFonts w:ascii="Times New Roman" w:hAnsi="Times New Roman" w:cs="Times New Roman"/>
          <w:color w:val="auto"/>
          <w:sz w:val="32"/>
          <w:szCs w:val="32"/>
        </w:rPr>
        <w:t>流域面积406.3km</w:t>
      </w:r>
      <w:r>
        <w:rPr>
          <w:rFonts w:ascii="Times New Roman" w:hAnsi="Times New Roman" w:cs="Times New Roman"/>
          <w:color w:val="auto"/>
          <w:sz w:val="32"/>
          <w:szCs w:val="32"/>
          <w:vertAlign w:val="superscript"/>
        </w:rPr>
        <w:t>2</w:t>
      </w:r>
      <w:r>
        <w:rPr>
          <w:rFonts w:hint="eastAsia" w:ascii="Times New Roman" w:hAnsi="Times New Roman" w:cs="Times New Roman"/>
          <w:color w:val="auto"/>
          <w:sz w:val="32"/>
          <w:szCs w:val="32"/>
        </w:rPr>
        <w:t>；玉符河是长清区北部的边境河流，在长清区内流长4</w:t>
      </w:r>
      <w:r>
        <w:rPr>
          <w:rFonts w:ascii="Times New Roman" w:hAnsi="Times New Roman" w:cs="Times New Roman"/>
          <w:color w:val="auto"/>
          <w:sz w:val="32"/>
          <w:szCs w:val="32"/>
        </w:rPr>
        <w:t>.8km</w:t>
      </w:r>
      <w:r>
        <w:rPr>
          <w:rFonts w:hint="eastAsia" w:ascii="Times New Roman" w:hAnsi="Times New Roman" w:cs="Times New Roman"/>
          <w:color w:val="auto"/>
          <w:sz w:val="32"/>
          <w:szCs w:val="32"/>
        </w:rPr>
        <w:t>，流域面积8</w:t>
      </w:r>
      <w:r>
        <w:rPr>
          <w:rFonts w:ascii="Times New Roman" w:hAnsi="Times New Roman" w:cs="Times New Roman"/>
          <w:color w:val="auto"/>
          <w:sz w:val="32"/>
          <w:szCs w:val="32"/>
        </w:rPr>
        <w:t>2.68km</w:t>
      </w:r>
      <w:r>
        <w:rPr>
          <w:rFonts w:ascii="Times New Roman" w:hAnsi="Times New Roman" w:cs="Times New Roman"/>
          <w:color w:val="auto"/>
          <w:sz w:val="32"/>
          <w:szCs w:val="32"/>
          <w:vertAlign w:val="superscript"/>
        </w:rPr>
        <w:t>2</w:t>
      </w:r>
      <w:r>
        <w:rPr>
          <w:rFonts w:hint="eastAsia" w:ascii="Times New Roman" w:hAnsi="Times New Roman" w:cs="Times New Roman"/>
          <w:color w:val="auto"/>
          <w:sz w:val="32"/>
          <w:szCs w:val="32"/>
        </w:rPr>
        <w:t>；清水沟经孝里铺至老王坡村北流入黄河，全长13.5</w:t>
      </w:r>
      <w:r>
        <w:rPr>
          <w:rFonts w:ascii="Times New Roman" w:hAnsi="Times New Roman" w:cs="Times New Roman"/>
          <w:color w:val="auto"/>
          <w:sz w:val="32"/>
          <w:szCs w:val="32"/>
        </w:rPr>
        <w:t>km</w:t>
      </w:r>
      <w:r>
        <w:rPr>
          <w:rFonts w:hint="eastAsia" w:ascii="Times New Roman" w:hAnsi="Times New Roman" w:cs="Times New Roman"/>
          <w:color w:val="auto"/>
          <w:sz w:val="32"/>
          <w:szCs w:val="32"/>
        </w:rPr>
        <w:t>，流域面积107.8</w:t>
      </w:r>
      <w:r>
        <w:rPr>
          <w:rFonts w:ascii="Times New Roman" w:hAnsi="Times New Roman" w:cs="Times New Roman"/>
          <w:color w:val="auto"/>
          <w:sz w:val="32"/>
          <w:szCs w:val="32"/>
        </w:rPr>
        <w:t>km</w:t>
      </w:r>
      <w:r>
        <w:rPr>
          <w:rFonts w:ascii="Times New Roman" w:hAnsi="Times New Roman" w:cs="Times New Roman"/>
          <w:color w:val="auto"/>
          <w:sz w:val="32"/>
          <w:szCs w:val="32"/>
          <w:vertAlign w:val="superscript"/>
        </w:rPr>
        <w:t>2</w:t>
      </w:r>
      <w:r>
        <w:rPr>
          <w:rFonts w:hint="eastAsia" w:ascii="Times New Roman" w:hAnsi="Times New Roman" w:cs="Times New Roman"/>
          <w:color w:val="auto"/>
          <w:sz w:val="32"/>
          <w:szCs w:val="32"/>
        </w:rPr>
        <w:t>。另外有</w:t>
      </w:r>
      <w:r>
        <w:rPr>
          <w:rFonts w:ascii="Times New Roman" w:hAnsi="Times New Roman" w:cs="Times New Roman"/>
          <w:color w:val="auto"/>
          <w:sz w:val="32"/>
          <w:szCs w:val="32"/>
        </w:rPr>
        <w:t>南水北调济平干渠（南水北调东线长清区段）</w:t>
      </w:r>
      <w:r>
        <w:rPr>
          <w:rFonts w:hint="eastAsia" w:ascii="Times New Roman" w:hAnsi="Times New Roman" w:cs="Times New Roman"/>
          <w:color w:val="auto"/>
          <w:sz w:val="32"/>
          <w:szCs w:val="32"/>
        </w:rPr>
        <w:t>，</w:t>
      </w:r>
      <w:r>
        <w:rPr>
          <w:rFonts w:ascii="Times New Roman" w:hAnsi="Times New Roman" w:cs="Times New Roman"/>
          <w:color w:val="auto"/>
          <w:sz w:val="32"/>
          <w:szCs w:val="32"/>
        </w:rPr>
        <w:t>工程输水线路全长90.055km，济平干渠济南段输水渠道沿岸两侧封闭围网范围内的区域属于一级保护区。</w:t>
      </w:r>
      <w:r>
        <w:rPr>
          <w:rFonts w:hint="eastAsia" w:ascii="Times New Roman" w:hAnsi="Times New Roman" w:cs="Times New Roman"/>
          <w:color w:val="auto"/>
          <w:sz w:val="32"/>
          <w:szCs w:val="32"/>
        </w:rPr>
        <w:t>境内湖泊</w:t>
      </w:r>
      <w:r>
        <w:rPr>
          <w:rFonts w:ascii="Times New Roman" w:hAnsi="Times New Roman" w:cs="Times New Roman"/>
          <w:color w:val="auto"/>
          <w:sz w:val="32"/>
          <w:szCs w:val="32"/>
        </w:rPr>
        <w:t>包括</w:t>
      </w:r>
      <w:r>
        <w:rPr>
          <w:rFonts w:hint="eastAsia" w:ascii="Times New Roman" w:hAnsi="Times New Roman" w:cs="Times New Roman"/>
          <w:color w:val="auto"/>
          <w:sz w:val="32"/>
          <w:szCs w:val="32"/>
        </w:rPr>
        <w:t>长清湖（原东风水库）、</w:t>
      </w:r>
      <w:r>
        <w:rPr>
          <w:rFonts w:ascii="Times New Roman" w:hAnsi="Times New Roman" w:cs="Times New Roman"/>
          <w:color w:val="auto"/>
          <w:sz w:val="32"/>
          <w:szCs w:val="32"/>
        </w:rPr>
        <w:t>崮头水库、崮云湖水库、钓鱼台水库、石店水库、武</w:t>
      </w:r>
      <w:r>
        <w:rPr>
          <w:rFonts w:hint="eastAsia" w:ascii="Times New Roman" w:hAnsi="Times New Roman" w:cs="Times New Roman"/>
          <w:color w:val="auto"/>
          <w:sz w:val="32"/>
          <w:szCs w:val="32"/>
        </w:rPr>
        <w:t>庄</w:t>
      </w:r>
      <w:r>
        <w:rPr>
          <w:rFonts w:ascii="Times New Roman" w:hAnsi="Times New Roman" w:cs="Times New Roman"/>
          <w:color w:val="auto"/>
          <w:sz w:val="32"/>
          <w:szCs w:val="32"/>
        </w:rPr>
        <w:t>水库</w:t>
      </w:r>
      <w:r>
        <w:rPr>
          <w:rFonts w:hint="eastAsia" w:ascii="Times New Roman" w:hAnsi="Times New Roman" w:cs="Times New Roman"/>
          <w:color w:val="auto"/>
          <w:sz w:val="32"/>
          <w:szCs w:val="32"/>
        </w:rPr>
        <w:t>以及</w:t>
      </w:r>
      <w:r>
        <w:rPr>
          <w:rFonts w:ascii="Times New Roman" w:hAnsi="Times New Roman" w:cs="Times New Roman"/>
          <w:color w:val="auto"/>
          <w:sz w:val="32"/>
          <w:szCs w:val="32"/>
        </w:rPr>
        <w:t>玉清湖水库</w:t>
      </w:r>
      <w:r>
        <w:rPr>
          <w:rFonts w:hint="eastAsia" w:ascii="Times New Roman" w:hAnsi="Times New Roman" w:cs="Times New Roman"/>
          <w:color w:val="auto"/>
          <w:sz w:val="32"/>
          <w:szCs w:val="32"/>
        </w:rPr>
        <w:t>等，共有水库45座，总库容约5099万</w:t>
      </w:r>
      <w:r>
        <w:rPr>
          <w:rFonts w:ascii="Times New Roman" w:hAnsi="Times New Roman" w:cs="Times New Roman"/>
          <w:color w:val="auto"/>
          <w:sz w:val="32"/>
          <w:szCs w:val="32"/>
        </w:rPr>
        <w:t>m</w:t>
      </w:r>
      <w:r>
        <w:rPr>
          <w:rFonts w:hint="eastAsia" w:ascii="Times New Roman" w:hAnsi="Times New Roman" w:cs="Times New Roman"/>
          <w:color w:val="auto"/>
          <w:sz w:val="32"/>
          <w:szCs w:val="32"/>
          <w:vertAlign w:val="superscript"/>
        </w:rPr>
        <w:t>3</w:t>
      </w:r>
      <w:r>
        <w:rPr>
          <w:rFonts w:ascii="Times New Roman" w:hAnsi="Times New Roman" w:cs="Times New Roman"/>
          <w:color w:val="auto"/>
          <w:sz w:val="32"/>
          <w:szCs w:val="32"/>
        </w:rPr>
        <w:t>。</w:t>
      </w:r>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2.1.</w:t>
      </w:r>
      <w:r>
        <w:rPr>
          <w:rFonts w:hint="eastAsia"/>
          <w:color w:val="auto"/>
          <w:sz w:val="32"/>
          <w:szCs w:val="32"/>
        </w:rPr>
        <w:t>5</w:t>
      </w:r>
      <w:r>
        <w:rPr>
          <w:color w:val="auto"/>
          <w:sz w:val="32"/>
          <w:szCs w:val="32"/>
        </w:rPr>
        <w:t>植被覆盖</w:t>
      </w:r>
      <w:bookmarkEnd w:id="43"/>
      <w:bookmarkEnd w:id="44"/>
      <w:bookmarkEnd w:id="45"/>
      <w:bookmarkEnd w:id="46"/>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长清区自然植被大部分为农作物，农作物覆盖率41.6%</w:t>
      </w:r>
      <w:r>
        <w:rPr>
          <w:rFonts w:hint="eastAsia" w:ascii="Times New Roman" w:hAnsi="Times New Roman" w:cs="Times New Roman"/>
          <w:color w:val="auto"/>
          <w:sz w:val="32"/>
          <w:szCs w:val="32"/>
        </w:rPr>
        <w:t>，</w:t>
      </w:r>
      <w:r>
        <w:rPr>
          <w:rFonts w:ascii="Times New Roman" w:hAnsi="Times New Roman" w:cs="Times New Roman"/>
          <w:color w:val="auto"/>
          <w:sz w:val="32"/>
          <w:szCs w:val="32"/>
        </w:rPr>
        <w:t>林木覆盖率</w:t>
      </w:r>
      <w:r>
        <w:rPr>
          <w:rFonts w:hint="eastAsia" w:ascii="Times New Roman" w:hAnsi="Times New Roman" w:cs="Times New Roman"/>
          <w:color w:val="auto"/>
          <w:sz w:val="32"/>
          <w:szCs w:val="32"/>
        </w:rPr>
        <w:t>35.4</w:t>
      </w:r>
      <w:r>
        <w:rPr>
          <w:rFonts w:ascii="Times New Roman" w:hAnsi="Times New Roman" w:cs="Times New Roman"/>
          <w:color w:val="auto"/>
          <w:sz w:val="32"/>
          <w:szCs w:val="32"/>
        </w:rPr>
        <w:t>%。全区有植物105科478种。其中蕨类植物门有7科8种，裸子植物门有4科10种，被子植物门有100科443种。全区现有林木种质资源73科167属333种</w:t>
      </w:r>
      <w:r>
        <w:rPr>
          <w:rFonts w:hint="eastAsia" w:ascii="Times New Roman" w:hAnsi="Times New Roman" w:cs="Times New Roman"/>
          <w:color w:val="auto"/>
          <w:sz w:val="32"/>
          <w:szCs w:val="32"/>
        </w:rPr>
        <w:t>，</w:t>
      </w:r>
      <w:r>
        <w:rPr>
          <w:rFonts w:ascii="Times New Roman" w:hAnsi="Times New Roman" w:cs="Times New Roman"/>
          <w:color w:val="auto"/>
          <w:sz w:val="32"/>
          <w:szCs w:val="32"/>
        </w:rPr>
        <w:t>西部黄泛平原农田林网防护林区，主要树种为侧柏、杨、柳、刺槐，其次是桐、榆、臭椿。中部山前平原农田林网、桐粮间作林区，主要树种为侧柏、刺槐、杨、柳等。东南丘陵山区防护林、经济林区，主要树种为臭椿、苦楠、榆、梧桐等。</w:t>
      </w:r>
    </w:p>
    <w:p>
      <w:pPr>
        <w:pStyle w:val="5"/>
        <w:keepNext w:val="0"/>
        <w:keepLines w:val="0"/>
        <w:widowControl w:val="0"/>
        <w:spacing w:beforeLines="0" w:afterLines="0" w:line="580" w:lineRule="exact"/>
        <w:ind w:firstLine="643" w:firstLineChars="200"/>
        <w:jc w:val="both"/>
        <w:rPr>
          <w:color w:val="auto"/>
          <w:sz w:val="32"/>
          <w:szCs w:val="32"/>
        </w:rPr>
      </w:pPr>
      <w:bookmarkStart w:id="47" w:name="_Toc32098"/>
      <w:bookmarkStart w:id="48" w:name="_Toc112078487"/>
      <w:bookmarkStart w:id="49" w:name="_Toc117837731"/>
      <w:bookmarkStart w:id="50" w:name="_Toc117788557"/>
      <w:r>
        <w:rPr>
          <w:color w:val="auto"/>
          <w:sz w:val="32"/>
          <w:szCs w:val="32"/>
        </w:rPr>
        <w:t>2.1.</w:t>
      </w:r>
      <w:r>
        <w:rPr>
          <w:rFonts w:hint="eastAsia"/>
          <w:color w:val="auto"/>
          <w:sz w:val="32"/>
          <w:szCs w:val="32"/>
        </w:rPr>
        <w:t>6</w:t>
      </w:r>
      <w:r>
        <w:rPr>
          <w:color w:val="auto"/>
          <w:sz w:val="32"/>
          <w:szCs w:val="32"/>
        </w:rPr>
        <w:t>土壤特征</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地势东南高、西北低，由东南向西北依次是山区、丘陵、山前平原和黄河洼区，有"八山一洼一平原"之称。长清区土壤共有4个土类8个亚类11个土属68个土种，土地总面积为11.78万公顷，区内土质主要为棕壤土、褐土和沙风土。</w:t>
      </w:r>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2.1.</w:t>
      </w:r>
      <w:r>
        <w:rPr>
          <w:rFonts w:hint="eastAsia"/>
          <w:color w:val="auto"/>
          <w:sz w:val="32"/>
          <w:szCs w:val="32"/>
        </w:rPr>
        <w:t>7</w:t>
      </w:r>
      <w:r>
        <w:rPr>
          <w:color w:val="auto"/>
          <w:sz w:val="32"/>
          <w:szCs w:val="32"/>
        </w:rPr>
        <w:t>矿产资源</w:t>
      </w:r>
    </w:p>
    <w:bookmarkEnd w:id="47"/>
    <w:bookmarkEnd w:id="48"/>
    <w:bookmarkEnd w:id="49"/>
    <w:bookmarkEnd w:id="50"/>
    <w:p>
      <w:pPr>
        <w:widowControl w:val="0"/>
        <w:adjustRightInd/>
        <w:spacing w:line="580" w:lineRule="exact"/>
        <w:ind w:firstLine="640"/>
        <w:jc w:val="both"/>
        <w:rPr>
          <w:rFonts w:ascii="Times New Roman" w:hAnsi="Times New Roman" w:cs="Times New Roman"/>
          <w:color w:val="auto"/>
          <w:sz w:val="32"/>
          <w:szCs w:val="32"/>
        </w:rPr>
      </w:pPr>
      <w:bookmarkStart w:id="51" w:name="_Toc112078488"/>
      <w:bookmarkStart w:id="52" w:name="_Toc22750"/>
      <w:bookmarkStart w:id="53" w:name="_Toc117788558"/>
      <w:bookmarkStart w:id="54" w:name="_Toc117837732"/>
      <w:r>
        <w:rPr>
          <w:rFonts w:ascii="Times New Roman" w:hAnsi="Times New Roman" w:cs="Times New Roman"/>
          <w:color w:val="auto"/>
          <w:sz w:val="32"/>
          <w:szCs w:val="32"/>
        </w:rPr>
        <w:t>长清</w:t>
      </w:r>
      <w:r>
        <w:rPr>
          <w:rFonts w:hint="eastAsia" w:ascii="Times New Roman" w:hAnsi="Times New Roman" w:cs="Times New Roman"/>
          <w:color w:val="auto"/>
          <w:sz w:val="32"/>
          <w:szCs w:val="32"/>
        </w:rPr>
        <w:t>区</w:t>
      </w:r>
      <w:r>
        <w:rPr>
          <w:rFonts w:ascii="Times New Roman" w:hAnsi="Times New Roman" w:cs="Times New Roman"/>
          <w:color w:val="auto"/>
          <w:sz w:val="32"/>
          <w:szCs w:val="32"/>
        </w:rPr>
        <w:t>矿产资源十分丰富，</w:t>
      </w:r>
      <w:r>
        <w:rPr>
          <w:rFonts w:hint="eastAsia" w:ascii="Times New Roman" w:hAnsi="Times New Roman" w:cs="Times New Roman"/>
          <w:color w:val="auto"/>
          <w:sz w:val="32"/>
          <w:szCs w:val="32"/>
        </w:rPr>
        <w:t>目前全区共发现矿产19种，</w:t>
      </w:r>
      <w:r>
        <w:rPr>
          <w:rFonts w:ascii="Times New Roman" w:hAnsi="Times New Roman" w:cs="Times New Roman"/>
          <w:color w:val="auto"/>
          <w:sz w:val="32"/>
          <w:szCs w:val="32"/>
        </w:rPr>
        <w:t>有煤、金、铜、铝、磷、铁等，主要分布在马山镇、双泉镇和万德街道。东部山区“三砂五石”（青砂、红砂、黄砂和花岗石、木鱼石、大理石、石英石、钾长石）量大品优，其中花岗石有24个品种，储量在200亿m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以上</w:t>
      </w:r>
      <w:r>
        <w:rPr>
          <w:rFonts w:hint="eastAsia" w:ascii="Times New Roman" w:hAnsi="Times New Roman" w:cs="Times New Roman"/>
          <w:color w:val="auto"/>
          <w:sz w:val="32"/>
          <w:szCs w:val="32"/>
        </w:rPr>
        <w:t>；石灰石储量丰富，遍布全区。具有一定规模和资源储量优势的有煤、地热、铁、水泥用灰岩、饰面用花岗岩、蛇纹岩（泰山玉）、熔剂用白云岩、钾长石及矿泉水、地下水等矿产资源</w:t>
      </w:r>
      <w:r>
        <w:rPr>
          <w:rFonts w:ascii="Times New Roman" w:hAnsi="Times New Roman" w:cs="Times New Roman"/>
          <w:color w:val="auto"/>
          <w:sz w:val="32"/>
          <w:szCs w:val="32"/>
        </w:rPr>
        <w:t>。</w:t>
      </w:r>
    </w:p>
    <w:bookmarkEnd w:id="51"/>
    <w:bookmarkEnd w:id="52"/>
    <w:bookmarkEnd w:id="53"/>
    <w:bookmarkEnd w:id="54"/>
    <w:p>
      <w:pPr>
        <w:pStyle w:val="4"/>
        <w:spacing w:beforeLines="0" w:afterLines="0" w:line="580" w:lineRule="exact"/>
        <w:ind w:firstLine="641"/>
        <w:jc w:val="both"/>
        <w:rPr>
          <w:rFonts w:eastAsia="华文楷体"/>
          <w:color w:val="auto"/>
          <w:sz w:val="32"/>
          <w:szCs w:val="32"/>
        </w:rPr>
      </w:pPr>
      <w:bookmarkStart w:id="55" w:name="_Toc21356"/>
      <w:r>
        <w:rPr>
          <w:rFonts w:eastAsia="华文楷体"/>
          <w:color w:val="auto"/>
          <w:sz w:val="32"/>
          <w:szCs w:val="32"/>
        </w:rPr>
        <w:t>2.2</w:t>
      </w:r>
      <w:r>
        <w:rPr>
          <w:rFonts w:hint="eastAsia" w:ascii="楷体_GB2312" w:eastAsia="楷体_GB2312"/>
          <w:color w:val="auto"/>
          <w:sz w:val="32"/>
          <w:szCs w:val="32"/>
        </w:rPr>
        <w:t>社会经济概况</w:t>
      </w:r>
      <w:bookmarkEnd w:id="55"/>
    </w:p>
    <w:p>
      <w:pPr>
        <w:pStyle w:val="5"/>
        <w:keepNext w:val="0"/>
        <w:keepLines w:val="0"/>
        <w:widowControl w:val="0"/>
        <w:spacing w:beforeLines="0" w:afterLines="0" w:line="580" w:lineRule="exact"/>
        <w:ind w:firstLine="643" w:firstLineChars="200"/>
        <w:jc w:val="both"/>
        <w:rPr>
          <w:color w:val="auto"/>
          <w:sz w:val="32"/>
          <w:szCs w:val="32"/>
        </w:rPr>
      </w:pPr>
      <w:bookmarkStart w:id="56" w:name="_Toc31052"/>
      <w:bookmarkStart w:id="57" w:name="_Toc117837734"/>
      <w:bookmarkStart w:id="58" w:name="_Toc117788560"/>
      <w:bookmarkStart w:id="59" w:name="_Toc112078490"/>
      <w:r>
        <w:rPr>
          <w:color w:val="auto"/>
          <w:sz w:val="32"/>
          <w:szCs w:val="32"/>
        </w:rPr>
        <w:t>2.2.1行政区划</w:t>
      </w:r>
      <w:bookmarkEnd w:id="56"/>
      <w:bookmarkEnd w:id="57"/>
      <w:bookmarkEnd w:id="58"/>
      <w:bookmarkEnd w:id="59"/>
    </w:p>
    <w:p>
      <w:pPr>
        <w:widowControl w:val="0"/>
        <w:adjustRightInd/>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2021年，长清</w:t>
      </w:r>
      <w:r>
        <w:rPr>
          <w:rFonts w:ascii="Times New Roman" w:hAnsi="Times New Roman" w:cs="Times New Roman"/>
          <w:color w:val="auto"/>
          <w:sz w:val="32"/>
          <w:szCs w:val="32"/>
        </w:rPr>
        <w:t>区辖文昌街道、平安街道、崮云湖街道、五峰山街道，归德街道、万德街道、张夏街道、孝里街道、双泉镇、马山镇，共8个街道、2个镇，</w:t>
      </w:r>
      <w:r>
        <w:rPr>
          <w:rFonts w:hint="eastAsia" w:ascii="Times New Roman" w:hAnsi="Times New Roman" w:cs="Times New Roman"/>
          <w:color w:val="auto"/>
          <w:sz w:val="32"/>
          <w:szCs w:val="32"/>
        </w:rPr>
        <w:t>651</w:t>
      </w:r>
      <w:r>
        <w:rPr>
          <w:rFonts w:ascii="Times New Roman" w:hAnsi="Times New Roman" w:cs="Times New Roman"/>
          <w:color w:val="auto"/>
          <w:sz w:val="32"/>
          <w:szCs w:val="32"/>
        </w:rPr>
        <w:t>个</w:t>
      </w:r>
      <w:r>
        <w:rPr>
          <w:rFonts w:hint="eastAsia" w:ascii="Times New Roman" w:hAnsi="Times New Roman" w:cs="Times New Roman"/>
          <w:color w:val="auto"/>
          <w:sz w:val="32"/>
          <w:szCs w:val="32"/>
        </w:rPr>
        <w:t>村居</w:t>
      </w:r>
      <w:r>
        <w:rPr>
          <w:rFonts w:ascii="Times New Roman" w:hAnsi="Times New Roman" w:cs="Times New Roman"/>
          <w:color w:val="auto"/>
          <w:sz w:val="32"/>
          <w:szCs w:val="32"/>
        </w:rPr>
        <w:t>。2021年末，全区常住人口62.42万人。</w:t>
      </w:r>
    </w:p>
    <w:p>
      <w:pPr>
        <w:pStyle w:val="5"/>
        <w:keepNext w:val="0"/>
        <w:keepLines w:val="0"/>
        <w:widowControl w:val="0"/>
        <w:spacing w:beforeLines="0" w:afterLines="0" w:line="580" w:lineRule="exact"/>
        <w:ind w:firstLine="643" w:firstLineChars="200"/>
        <w:jc w:val="both"/>
        <w:rPr>
          <w:color w:val="auto"/>
          <w:sz w:val="32"/>
          <w:szCs w:val="32"/>
        </w:rPr>
      </w:pPr>
      <w:bookmarkStart w:id="60" w:name="_Toc117837735"/>
      <w:bookmarkStart w:id="61" w:name="_Toc117788561"/>
      <w:bookmarkStart w:id="62" w:name="_Toc1642"/>
      <w:bookmarkStart w:id="63" w:name="_Toc112078491"/>
      <w:r>
        <w:rPr>
          <w:color w:val="auto"/>
          <w:sz w:val="32"/>
          <w:szCs w:val="32"/>
        </w:rPr>
        <w:t>2.2.2产业类型</w:t>
      </w:r>
      <w:bookmarkEnd w:id="60"/>
      <w:bookmarkEnd w:id="61"/>
      <w:bookmarkEnd w:id="62"/>
      <w:bookmarkEnd w:id="63"/>
      <w:r>
        <w:rPr>
          <w:rFonts w:hint="eastAsia"/>
          <w:color w:val="auto"/>
          <w:sz w:val="32"/>
          <w:szCs w:val="32"/>
        </w:rPr>
        <w:t>及经济指标</w:t>
      </w:r>
    </w:p>
    <w:p>
      <w:pPr>
        <w:widowControl w:val="0"/>
        <w:adjustRightInd/>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长清区已形成建筑建工、节能环保、文化旅游、医养康养、食品产业、医疗器械六大产业链条，</w:t>
      </w:r>
      <w:r>
        <w:rPr>
          <w:rFonts w:ascii="Times New Roman" w:hAnsi="Times New Roman" w:cs="Times New Roman"/>
          <w:color w:val="auto"/>
          <w:sz w:val="32"/>
          <w:szCs w:val="32"/>
        </w:rPr>
        <w:t>2021年，全区生产总值371.9亿元，按可比价格计算，比上年增长3.8%。分三次产业看，第一产业增加值39.1亿元，增长9.4%；第二产业增加值173.4亿元，下降0.1%；第三产业增加值159.4亿元，增长6.7%。全年人均生产总值60861元，比上年增长2.6%。10.5：46.6：42.9，对经济增长贡献率分别为24.7%、-1.5%和76.8%。</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2021年，长清区三次产业结构由上年的10.6：47.9：42.1调整为10.5：46.6：42.9，对经济增长贡献率分别为24.7%、-1.5%和76.8%。高新技术产业比重达到51.5%，比上年提高了7.1个百分点。</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2021年，长清区全年实现农林牧渔业总产值71.60亿元。其中，农业产值47.06亿元，林业产值3.22亿元，牧业产值18.11亿元，渔业产值0.66亿元。现代农业提质增效，全年现代高效农业增加值5.7亿元，比上年增长19%，现代高效农业增加值占农林牧渔业增加值比重达到14.1%。全年高标准农田面积2万亩，水肥一体化面积1</w:t>
      </w:r>
      <w:r>
        <w:rPr>
          <w:rFonts w:hint="eastAsia" w:ascii="Times New Roman" w:hAnsi="Times New Roman" w:cs="Times New Roman"/>
          <w:color w:val="auto"/>
          <w:sz w:val="32"/>
          <w:szCs w:val="32"/>
        </w:rPr>
        <w:t>.</w:t>
      </w:r>
      <w:r>
        <w:rPr>
          <w:rFonts w:ascii="Times New Roman" w:hAnsi="Times New Roman" w:cs="Times New Roman"/>
          <w:color w:val="auto"/>
          <w:sz w:val="32"/>
          <w:szCs w:val="32"/>
        </w:rPr>
        <w:t>4万亩。农民专业合作社、家庭农场、市级以上农业龙头企业分别达到1002家、722家、60家。</w:t>
      </w:r>
      <w:bookmarkStart w:id="64" w:name="_Toc112078493"/>
      <w:bookmarkStart w:id="65" w:name="_Toc117788563"/>
      <w:bookmarkStart w:id="66" w:name="_Toc117837737"/>
      <w:bookmarkStart w:id="67" w:name="_Toc25462"/>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2.2.</w:t>
      </w:r>
      <w:r>
        <w:rPr>
          <w:rFonts w:hint="eastAsia"/>
          <w:color w:val="auto"/>
          <w:sz w:val="32"/>
          <w:szCs w:val="32"/>
        </w:rPr>
        <w:t>3</w:t>
      </w:r>
      <w:r>
        <w:rPr>
          <w:color w:val="auto"/>
          <w:sz w:val="32"/>
          <w:szCs w:val="32"/>
        </w:rPr>
        <w:t>土地利用</w:t>
      </w:r>
      <w:bookmarkEnd w:id="64"/>
      <w:bookmarkEnd w:id="65"/>
      <w:bookmarkEnd w:id="66"/>
      <w:bookmarkEnd w:id="67"/>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土地利用情况根据济南市长清区第三次国土调查（以下简称“三调”）工作，以2019年12月31日为标准时点汇总数据。长清区主要地类数据如下：</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耕地30627.24公顷（459408.6亩）。其中，水田80.07公顷（1201.05亩），占0.26%；水浇地16723.8公顷（250857亩），占54.60%；旱地13823.37公顷（207350.55亩），占45.13%。耕地主要分布在归德街道、孝里街道和万德街道占全区耕地的54.52%。</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园地18362.65公顷（275439.75亩）。其中，果园16752.11公顷（251281.65亩），占91.23%；茶园60.93公顷（913.95亩），占0.33%；其他园地23244.15公顷（23533.65亩），占8.44%。园地主要分布在万德街道、张夏街道、五峰山街道、双泉镇，占全区的70.35％。</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3.林地41644.95公顷（641622.6亩）。其中，乔木林地20359.85公顷（311815.95亩），占48.89%；竹林地1.9公顷（31.2亩）；灌木林地5190.02公顷（78099.45亩），占12.46%；其他林地16093.18公顷（251676亩），占38.64%。</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4.草地3844.19公顷（59723.4亩）。长清区草地均为其他草地3844.19公顷（59723.4亩），占100%。其中孝里街道、张夏街道、平安街道草地分布较多，占全区草地的51.88％。</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5.湿地66.24公顷（993.9亩）。湿地是“三调”新增的一级地类，包括7个二级地类。长清区只有内陆滩涂，66.24公顷（993.9亩），占100%。长清区湿地分布在黄河沿岸、</w:t>
      </w:r>
      <w:r>
        <w:rPr>
          <w:rFonts w:hint="eastAsia" w:ascii="Times New Roman" w:hAnsi="Times New Roman" w:cs="Times New Roman"/>
          <w:color w:val="auto"/>
          <w:sz w:val="32"/>
          <w:szCs w:val="32"/>
        </w:rPr>
        <w:t>平安街道、</w:t>
      </w:r>
      <w:r>
        <w:rPr>
          <w:rFonts w:ascii="Times New Roman" w:hAnsi="Times New Roman" w:cs="Times New Roman"/>
          <w:color w:val="auto"/>
          <w:sz w:val="32"/>
          <w:szCs w:val="32"/>
        </w:rPr>
        <w:t>双泉镇、崮云湖街道、万德街道、归德街道、孝里街道、马山镇，占全区湿地的100%。</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6.城镇村及工矿用地15678.71公顷（235180.65亩）。其中，城市用地4011.90公顷（60178.5亩），占25.59%；建制镇用地1044.39公顷（15665.85亩），占6.66%；村庄用地9531.62公顷（142974.3亩），占60.79%；采矿用地775.34公顷（11630.1亩），占4.95%；风景名胜及特殊用地315.46公顷（4731.9亩），占2.01%。</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7.交通运输用地1460.18公顷（21902.7亩）。其中，铁路用地207.48公顷（3112.2亩），占7.39%；轨道交通用地66.37公顷（995.55亩），占2.36%；公路用地1186.33公顷（17794.95亩），占42.23%；农村道路1348.88公顷（20233.2亩），占48.02%。</w:t>
      </w:r>
    </w:p>
    <w:p>
      <w:pPr>
        <w:widowControl w:val="0"/>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8.水域及水利设施用地4090.95公顷（61364.25亩）。其中，河流水面2037.4公顷（30561亩），占49.80%；水库水面508.24公顷（7623.6亩），占12.42%；坑塘水面642.66公顷（9639.9亩），占15.71%；沟渠323.93公顷（4858.95亩），占7.92%；水工建筑用地578.72公顷（8680.8亩），占14.15%。</w:t>
      </w:r>
    </w:p>
    <w:p>
      <w:pPr>
        <w:pStyle w:val="5"/>
        <w:keepNext w:val="0"/>
        <w:keepLines w:val="0"/>
        <w:widowControl w:val="0"/>
        <w:spacing w:beforeLines="0" w:afterLines="0" w:line="580" w:lineRule="exact"/>
        <w:ind w:firstLine="643" w:firstLineChars="200"/>
        <w:jc w:val="both"/>
        <w:rPr>
          <w:color w:val="auto"/>
          <w:sz w:val="32"/>
          <w:szCs w:val="32"/>
        </w:rPr>
      </w:pPr>
      <w:bookmarkStart w:id="68" w:name="_Toc24881"/>
      <w:bookmarkStart w:id="69" w:name="_Toc6844"/>
      <w:r>
        <w:rPr>
          <w:color w:val="auto"/>
          <w:sz w:val="32"/>
          <w:szCs w:val="32"/>
        </w:rPr>
        <w:t>2.2.</w:t>
      </w:r>
      <w:r>
        <w:rPr>
          <w:rFonts w:hint="eastAsia"/>
          <w:color w:val="auto"/>
          <w:sz w:val="32"/>
          <w:szCs w:val="32"/>
        </w:rPr>
        <w:t>4</w:t>
      </w:r>
      <w:r>
        <w:rPr>
          <w:color w:val="auto"/>
          <w:sz w:val="32"/>
          <w:szCs w:val="32"/>
        </w:rPr>
        <w:t>畜禽粪污资源化利用相关</w:t>
      </w:r>
      <w:bookmarkEnd w:id="68"/>
      <w:bookmarkEnd w:id="69"/>
      <w:r>
        <w:rPr>
          <w:rFonts w:hint="eastAsia"/>
          <w:color w:val="auto"/>
          <w:sz w:val="32"/>
          <w:szCs w:val="32"/>
        </w:rPr>
        <w:t>产业发展情况</w:t>
      </w:r>
    </w:p>
    <w:p>
      <w:pPr>
        <w:widowControl w:val="0"/>
        <w:adjustRightInd/>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长清区粪污资源化利用方式主要是堆肥还田、蚯蚓养殖等。粪污处理方式为堆沤、异位生物发酵、沼气厌氧发酵等。</w:t>
      </w:r>
      <w:r>
        <w:rPr>
          <w:rFonts w:ascii="Times New Roman" w:hAnsi="Times New Roman" w:cs="Times New Roman"/>
          <w:color w:val="auto"/>
          <w:sz w:val="32"/>
          <w:szCs w:val="32"/>
        </w:rPr>
        <w:t>目前，长清区较大规模养殖场粪污发酵处理利用企业共有14家，粪污处理规模约20万吨/年，</w:t>
      </w:r>
      <w:r>
        <w:rPr>
          <w:rFonts w:hint="eastAsia" w:ascii="Times New Roman" w:hAnsi="Times New Roman" w:cs="Times New Roman"/>
          <w:color w:val="auto"/>
          <w:sz w:val="32"/>
          <w:szCs w:val="32"/>
        </w:rPr>
        <w:t>数量统计</w:t>
      </w:r>
      <w:r>
        <w:rPr>
          <w:rFonts w:ascii="Times New Roman" w:hAnsi="Times New Roman" w:cs="Times New Roman"/>
          <w:color w:val="auto"/>
          <w:sz w:val="32"/>
          <w:szCs w:val="32"/>
        </w:rPr>
        <w:t>见表2.2-1</w:t>
      </w:r>
      <w:r>
        <w:rPr>
          <w:rFonts w:hint="eastAsia" w:ascii="Times New Roman" w:hAnsi="Times New Roman" w:cs="Times New Roman"/>
          <w:color w:val="auto"/>
          <w:sz w:val="32"/>
          <w:szCs w:val="32"/>
        </w:rPr>
        <w:t>，企业名单见附表6</w:t>
      </w:r>
      <w:r>
        <w:rPr>
          <w:rFonts w:ascii="Times New Roman" w:hAnsi="Times New Roman" w:cs="Times New Roman"/>
          <w:color w:val="auto"/>
          <w:sz w:val="32"/>
          <w:szCs w:val="32"/>
        </w:rPr>
        <w:t>。</w:t>
      </w:r>
    </w:p>
    <w:p>
      <w:pPr>
        <w:adjustRightInd/>
        <w:ind w:firstLine="0" w:firstLineChars="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表2.2-1</w:t>
      </w:r>
      <w:r>
        <w:rPr>
          <w:rFonts w:hint="eastAsia" w:ascii="Times New Roman" w:hAnsi="Times New Roman" w:cs="Times New Roman"/>
          <w:b/>
          <w:bCs/>
          <w:color w:val="auto"/>
          <w:sz w:val="24"/>
          <w:szCs w:val="24"/>
        </w:rPr>
        <w:t xml:space="preserve">  2021年</w:t>
      </w:r>
      <w:r>
        <w:rPr>
          <w:rFonts w:ascii="Times New Roman" w:hAnsi="Times New Roman" w:cs="Times New Roman"/>
          <w:b/>
          <w:bCs/>
          <w:color w:val="auto"/>
          <w:sz w:val="24"/>
          <w:szCs w:val="24"/>
        </w:rPr>
        <w:t>长清区较大规模养殖场粪污发酵处理利用企业统计表</w:t>
      </w:r>
    </w:p>
    <w:tbl>
      <w:tblPr>
        <w:tblStyle w:val="30"/>
        <w:tblW w:w="4874" w:type="pct"/>
        <w:tblInd w:w="125"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940"/>
        <w:gridCol w:w="2894"/>
        <w:gridCol w:w="299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664" w:type="pct"/>
            <w:vMerge w:val="restar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区域</w:t>
            </w:r>
          </w:p>
        </w:tc>
        <w:tc>
          <w:tcPr>
            <w:tcW w:w="3335" w:type="pct"/>
            <w:gridSpan w:val="2"/>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畜禽粪污资源化利用相关企业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664" w:type="pct"/>
            <w:vMerge w:val="continue"/>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p>
        </w:tc>
        <w:tc>
          <w:tcPr>
            <w:tcW w:w="1638"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数量（个）</w:t>
            </w:r>
          </w:p>
        </w:tc>
        <w:tc>
          <w:tcPr>
            <w:tcW w:w="1697"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处理</w:t>
            </w:r>
            <w:r>
              <w:rPr>
                <w:rFonts w:hint="eastAsia" w:ascii="Times New Roman" w:hAnsi="Times New Roman" w:cs="Times New Roman"/>
                <w:color w:val="auto"/>
                <w:sz w:val="21"/>
                <w:szCs w:val="20"/>
              </w:rPr>
              <w:t>利用</w:t>
            </w:r>
            <w:r>
              <w:rPr>
                <w:rFonts w:ascii="Times New Roman" w:hAnsi="Times New Roman" w:cs="Times New Roman"/>
                <w:color w:val="auto"/>
                <w:sz w:val="21"/>
                <w:szCs w:val="20"/>
              </w:rPr>
              <w:t>规模（万吨/年）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664"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归德街道</w:t>
            </w:r>
          </w:p>
        </w:tc>
        <w:tc>
          <w:tcPr>
            <w:tcW w:w="1638"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3</w:t>
            </w:r>
          </w:p>
        </w:tc>
        <w:tc>
          <w:tcPr>
            <w:tcW w:w="1697"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14.0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664"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万德街道</w:t>
            </w:r>
          </w:p>
        </w:tc>
        <w:tc>
          <w:tcPr>
            <w:tcW w:w="1638"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2</w:t>
            </w:r>
          </w:p>
        </w:tc>
        <w:tc>
          <w:tcPr>
            <w:tcW w:w="1697"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664"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马山镇</w:t>
            </w:r>
          </w:p>
        </w:tc>
        <w:tc>
          <w:tcPr>
            <w:tcW w:w="1638"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3</w:t>
            </w:r>
          </w:p>
        </w:tc>
        <w:tc>
          <w:tcPr>
            <w:tcW w:w="1697"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664"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文昌街道</w:t>
            </w:r>
          </w:p>
        </w:tc>
        <w:tc>
          <w:tcPr>
            <w:tcW w:w="1638"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1</w:t>
            </w:r>
          </w:p>
        </w:tc>
        <w:tc>
          <w:tcPr>
            <w:tcW w:w="1697"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664"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孝里街道</w:t>
            </w:r>
          </w:p>
        </w:tc>
        <w:tc>
          <w:tcPr>
            <w:tcW w:w="1638"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2</w:t>
            </w:r>
          </w:p>
        </w:tc>
        <w:tc>
          <w:tcPr>
            <w:tcW w:w="1697"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664"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平安街道</w:t>
            </w:r>
          </w:p>
        </w:tc>
        <w:tc>
          <w:tcPr>
            <w:tcW w:w="1638"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3</w:t>
            </w:r>
          </w:p>
        </w:tc>
        <w:tc>
          <w:tcPr>
            <w:tcW w:w="1697" w:type="pct"/>
            <w:tcBorders>
              <w:tl2br w:val="nil"/>
              <w:tr2bl w:val="nil"/>
            </w:tcBorders>
            <w:vAlign w:val="center"/>
          </w:tcPr>
          <w:p>
            <w:pPr>
              <w:adjustRightInd/>
              <w:spacing w:line="240" w:lineRule="auto"/>
              <w:ind w:firstLine="0" w:firstLineChars="0"/>
              <w:jc w:val="center"/>
              <w:rPr>
                <w:rFonts w:ascii="Times New Roman" w:hAnsi="Times New Roman" w:cs="Times New Roman"/>
                <w:color w:val="auto"/>
                <w:sz w:val="21"/>
                <w:szCs w:val="20"/>
              </w:rPr>
            </w:pPr>
            <w:r>
              <w:rPr>
                <w:rFonts w:ascii="Times New Roman" w:hAnsi="Times New Roman" w:cs="Times New Roman"/>
                <w:color w:val="auto"/>
                <w:sz w:val="21"/>
                <w:szCs w:val="20"/>
              </w:rPr>
              <w:t>0.3</w:t>
            </w:r>
          </w:p>
        </w:tc>
      </w:tr>
    </w:tbl>
    <w:p>
      <w:pPr>
        <w:pStyle w:val="4"/>
        <w:spacing w:beforeLines="0" w:afterLines="0" w:line="570" w:lineRule="exact"/>
        <w:ind w:firstLine="641"/>
        <w:jc w:val="both"/>
        <w:rPr>
          <w:rFonts w:eastAsia="华文楷体"/>
          <w:color w:val="auto"/>
          <w:sz w:val="32"/>
          <w:szCs w:val="32"/>
        </w:rPr>
      </w:pPr>
      <w:bookmarkStart w:id="70" w:name="_Toc23657"/>
      <w:r>
        <w:rPr>
          <w:rFonts w:eastAsia="华文楷体"/>
          <w:color w:val="auto"/>
          <w:sz w:val="32"/>
          <w:szCs w:val="32"/>
        </w:rPr>
        <w:t>2.3</w:t>
      </w:r>
      <w:r>
        <w:rPr>
          <w:rFonts w:hint="eastAsia" w:ascii="楷体_GB2312" w:eastAsia="楷体_GB2312"/>
          <w:color w:val="auto"/>
          <w:sz w:val="32"/>
          <w:szCs w:val="32"/>
        </w:rPr>
        <w:t>生态环境概况</w:t>
      </w:r>
      <w:bookmarkEnd w:id="70"/>
    </w:p>
    <w:p>
      <w:pPr>
        <w:pStyle w:val="5"/>
        <w:keepNext w:val="0"/>
        <w:keepLines w:val="0"/>
        <w:widowControl w:val="0"/>
        <w:spacing w:beforeLines="0" w:afterLines="0" w:line="570" w:lineRule="exact"/>
        <w:ind w:firstLine="643" w:firstLineChars="200"/>
        <w:jc w:val="both"/>
        <w:rPr>
          <w:color w:val="auto"/>
          <w:sz w:val="32"/>
          <w:szCs w:val="32"/>
        </w:rPr>
      </w:pPr>
      <w:bookmarkStart w:id="71" w:name="_Toc112078497"/>
      <w:bookmarkStart w:id="72" w:name="_Toc7209"/>
      <w:bookmarkStart w:id="73" w:name="_Toc117788566"/>
      <w:bookmarkStart w:id="74" w:name="_Toc117837740"/>
      <w:r>
        <w:rPr>
          <w:color w:val="auto"/>
          <w:sz w:val="32"/>
          <w:szCs w:val="32"/>
        </w:rPr>
        <w:t>2.3.</w:t>
      </w:r>
      <w:r>
        <w:rPr>
          <w:rFonts w:hint="eastAsia"/>
          <w:color w:val="auto"/>
          <w:sz w:val="32"/>
          <w:szCs w:val="32"/>
        </w:rPr>
        <w:t>1</w:t>
      </w:r>
      <w:bookmarkEnd w:id="71"/>
      <w:bookmarkEnd w:id="72"/>
      <w:bookmarkEnd w:id="73"/>
      <w:bookmarkEnd w:id="74"/>
      <w:r>
        <w:rPr>
          <w:color w:val="auto"/>
          <w:sz w:val="32"/>
          <w:szCs w:val="32"/>
        </w:rPr>
        <w:t>空气环境质量</w:t>
      </w:r>
      <w:r>
        <w:rPr>
          <w:rFonts w:hint="eastAsia"/>
          <w:color w:val="auto"/>
          <w:sz w:val="32"/>
          <w:szCs w:val="32"/>
        </w:rPr>
        <w:t>状况</w:t>
      </w:r>
    </w:p>
    <w:p>
      <w:pPr>
        <w:widowControl w:val="0"/>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2021年，济南市长清区环境空气质量细颗粒物（PM</w:t>
      </w:r>
      <w:r>
        <w:rPr>
          <w:rFonts w:ascii="Times New Roman" w:hAnsi="Times New Roman" w:cs="Times New Roman"/>
          <w:color w:val="auto"/>
          <w:sz w:val="32"/>
          <w:szCs w:val="32"/>
          <w:vertAlign w:val="subscript"/>
        </w:rPr>
        <w:t>2.5</w:t>
      </w:r>
      <w:r>
        <w:rPr>
          <w:rFonts w:ascii="Times New Roman" w:hAnsi="Times New Roman" w:cs="Times New Roman"/>
          <w:color w:val="auto"/>
          <w:sz w:val="32"/>
          <w:szCs w:val="32"/>
        </w:rPr>
        <w:t>）、可吸入颗粒物（PM</w:t>
      </w:r>
      <w:r>
        <w:rPr>
          <w:rFonts w:ascii="Times New Roman" w:hAnsi="Times New Roman" w:cs="Times New Roman"/>
          <w:color w:val="auto"/>
          <w:sz w:val="32"/>
          <w:szCs w:val="32"/>
          <w:vertAlign w:val="subscript"/>
        </w:rPr>
        <w:t>10</w:t>
      </w:r>
      <w:r>
        <w:rPr>
          <w:rFonts w:ascii="Times New Roman" w:hAnsi="Times New Roman" w:cs="Times New Roman"/>
          <w:color w:val="auto"/>
          <w:sz w:val="32"/>
          <w:szCs w:val="32"/>
        </w:rPr>
        <w:t>）、二氧化硫（SO</w:t>
      </w:r>
      <w:r>
        <w:rPr>
          <w:rFonts w:ascii="Times New Roman" w:hAnsi="Times New Roman" w:cs="Times New Roman"/>
          <w:color w:val="auto"/>
          <w:sz w:val="32"/>
          <w:szCs w:val="32"/>
          <w:vertAlign w:val="subscript"/>
        </w:rPr>
        <w:t>2</w:t>
      </w:r>
      <w:r>
        <w:rPr>
          <w:rFonts w:ascii="Times New Roman" w:hAnsi="Times New Roman" w:cs="Times New Roman"/>
          <w:color w:val="auto"/>
          <w:sz w:val="32"/>
          <w:szCs w:val="32"/>
        </w:rPr>
        <w:t>）、二氧化氮（NO</w:t>
      </w:r>
      <w:r>
        <w:rPr>
          <w:rFonts w:ascii="Times New Roman" w:hAnsi="Times New Roman" w:cs="Times New Roman"/>
          <w:color w:val="auto"/>
          <w:sz w:val="32"/>
          <w:szCs w:val="32"/>
          <w:vertAlign w:val="subscript"/>
        </w:rPr>
        <w:t>2</w:t>
      </w:r>
      <w:r>
        <w:rPr>
          <w:rFonts w:ascii="Times New Roman" w:hAnsi="Times New Roman" w:cs="Times New Roman"/>
          <w:color w:val="auto"/>
          <w:sz w:val="32"/>
          <w:szCs w:val="32"/>
        </w:rPr>
        <w:t>）、臭氧（O</w:t>
      </w:r>
      <w:r>
        <w:rPr>
          <w:rFonts w:ascii="Times New Roman" w:hAnsi="Times New Roman" w:cs="Times New Roman"/>
          <w:color w:val="auto"/>
          <w:sz w:val="32"/>
          <w:szCs w:val="32"/>
          <w:vertAlign w:val="subscript"/>
        </w:rPr>
        <w:t>3</w:t>
      </w:r>
      <w:r>
        <w:rPr>
          <w:rFonts w:ascii="Times New Roman" w:hAnsi="Times New Roman" w:cs="Times New Roman"/>
          <w:color w:val="auto"/>
          <w:sz w:val="32"/>
          <w:szCs w:val="32"/>
        </w:rPr>
        <w:t>）、一氧化碳（CO）浓度分别为42μg/m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、79μg/m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、11μg/m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、29μg/m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、183μg/m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和1.2mg/m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w:t>
      </w:r>
    </w:p>
    <w:p>
      <w:pPr>
        <w:widowControl w:val="0"/>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2021年，长清区优良天数共231天（其中优44天，良187天），优良率为63.29%。</w:t>
      </w:r>
    </w:p>
    <w:p>
      <w:pPr>
        <w:pStyle w:val="5"/>
        <w:keepNext w:val="0"/>
        <w:keepLines w:val="0"/>
        <w:widowControl w:val="0"/>
        <w:spacing w:beforeLines="0" w:afterLines="0" w:line="570" w:lineRule="exact"/>
        <w:ind w:firstLine="643" w:firstLineChars="200"/>
        <w:jc w:val="both"/>
        <w:rPr>
          <w:color w:val="auto"/>
          <w:sz w:val="32"/>
          <w:szCs w:val="32"/>
        </w:rPr>
      </w:pPr>
      <w:r>
        <w:rPr>
          <w:color w:val="auto"/>
          <w:sz w:val="32"/>
          <w:szCs w:val="32"/>
        </w:rPr>
        <w:t>2.3.</w:t>
      </w:r>
      <w:r>
        <w:rPr>
          <w:rFonts w:hint="eastAsia"/>
          <w:color w:val="auto"/>
          <w:sz w:val="32"/>
          <w:szCs w:val="32"/>
        </w:rPr>
        <w:t>2水</w:t>
      </w:r>
      <w:r>
        <w:rPr>
          <w:color w:val="auto"/>
          <w:sz w:val="32"/>
          <w:szCs w:val="32"/>
        </w:rPr>
        <w:t>环境质量</w:t>
      </w:r>
      <w:r>
        <w:rPr>
          <w:rFonts w:hint="eastAsia"/>
          <w:color w:val="auto"/>
          <w:sz w:val="32"/>
          <w:szCs w:val="32"/>
        </w:rPr>
        <w:t>状况</w:t>
      </w:r>
    </w:p>
    <w:p>
      <w:pPr>
        <w:widowControl w:val="0"/>
        <w:adjustRightInd/>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2021年，长清区共2个</w:t>
      </w:r>
      <w:r>
        <w:rPr>
          <w:rFonts w:hint="eastAsia"/>
          <w:color w:val="auto"/>
          <w:sz w:val="32"/>
          <w:szCs w:val="32"/>
        </w:rPr>
        <w:t>市控及以上河流</w:t>
      </w:r>
      <w:r>
        <w:rPr>
          <w:rFonts w:hint="eastAsia" w:ascii="Times New Roman" w:hAnsi="Times New Roman" w:cs="Times New Roman"/>
          <w:color w:val="auto"/>
          <w:sz w:val="32"/>
          <w:szCs w:val="32"/>
        </w:rPr>
        <w:t>断面，分别为北大沙河入黄河口国控考核断面和北大沙河万德市控考核断面，</w:t>
      </w:r>
      <w:r>
        <w:rPr>
          <w:rFonts w:hint="eastAsia"/>
          <w:color w:val="auto"/>
          <w:sz w:val="32"/>
          <w:szCs w:val="32"/>
        </w:rPr>
        <w:t>均执行《地表水环境质量标准</w:t>
      </w:r>
      <w:r>
        <w:rPr>
          <w:rFonts w:hint="eastAsia" w:ascii="Times New Roman" w:hAnsi="Times New Roman" w:cs="Times New Roman"/>
          <w:color w:val="auto"/>
          <w:sz w:val="32"/>
          <w:szCs w:val="32"/>
        </w:rPr>
        <w:t>》（GB3838-2002）</w:t>
      </w:r>
      <w:r>
        <w:rPr>
          <w:rFonts w:ascii="Times New Roman" w:hAnsi="Times New Roman" w:cs="Times New Roman"/>
          <w:bCs/>
          <w:color w:val="auto"/>
          <w:kern w:val="0"/>
          <w:sz w:val="32"/>
          <w:szCs w:val="32"/>
        </w:rPr>
        <w:t>Ⅳ</w:t>
      </w:r>
      <w:r>
        <w:rPr>
          <w:rFonts w:hint="eastAsia"/>
          <w:color w:val="auto"/>
          <w:sz w:val="32"/>
          <w:szCs w:val="32"/>
        </w:rPr>
        <w:t>类标准，</w:t>
      </w:r>
      <w:r>
        <w:rPr>
          <w:rFonts w:hint="eastAsia" w:ascii="Times New Roman" w:hAnsi="Times New Roman" w:cs="Times New Roman"/>
          <w:color w:val="auto"/>
          <w:sz w:val="32"/>
          <w:szCs w:val="32"/>
        </w:rPr>
        <w:t>监测结果显示：</w:t>
      </w:r>
      <w:r>
        <w:rPr>
          <w:rFonts w:ascii="Times New Roman" w:hAnsi="Times New Roman" w:cs="Times New Roman"/>
          <w:color w:val="auto"/>
          <w:sz w:val="32"/>
          <w:szCs w:val="32"/>
        </w:rPr>
        <w:t>北大沙河万德</w:t>
      </w:r>
      <w:r>
        <w:rPr>
          <w:rFonts w:hint="eastAsia" w:ascii="Times New Roman" w:hAnsi="Times New Roman" w:cs="Times New Roman"/>
          <w:color w:val="auto"/>
          <w:sz w:val="32"/>
          <w:szCs w:val="32"/>
        </w:rPr>
        <w:t>市控断面水质达到地表水</w:t>
      </w:r>
      <w:r>
        <w:rPr>
          <w:rFonts w:hint="eastAsia" w:ascii="Times New Roman" w:hAnsi="Times New Roman" w:cs="Times New Roman"/>
          <w:color w:val="auto"/>
          <w:sz w:val="32"/>
          <w:szCs w:val="32"/>
        </w:rPr>
        <w:fldChar w:fldCharType="begin"/>
      </w:r>
      <w:r>
        <w:rPr>
          <w:rFonts w:hint="eastAsia" w:ascii="Times New Roman" w:hAnsi="Times New Roman" w:cs="Times New Roman"/>
          <w:color w:val="auto"/>
          <w:sz w:val="32"/>
          <w:szCs w:val="32"/>
        </w:rPr>
        <w:instrText xml:space="preserve">= 3 \* ROMAN</w:instrText>
      </w:r>
      <w:r>
        <w:rPr>
          <w:rFonts w:hint="eastAsia" w:ascii="Times New Roman" w:hAnsi="Times New Roman" w:cs="Times New Roman"/>
          <w:color w:val="auto"/>
          <w:sz w:val="32"/>
          <w:szCs w:val="32"/>
        </w:rPr>
        <w:fldChar w:fldCharType="separate"/>
      </w:r>
      <w:r>
        <w:rPr>
          <w:rFonts w:hint="eastAsia" w:ascii="Times New Roman" w:hAnsi="Times New Roman" w:cs="Times New Roman"/>
          <w:color w:val="auto"/>
          <w:sz w:val="32"/>
          <w:szCs w:val="32"/>
        </w:rPr>
        <w:t>II</w:t>
      </w:r>
      <w:r>
        <w:rPr>
          <w:rFonts w:hint="eastAsia" w:ascii="Times New Roman" w:hAnsi="Times New Roman" w:cs="Times New Roman"/>
          <w:color w:val="auto"/>
          <w:sz w:val="32"/>
          <w:szCs w:val="32"/>
        </w:rPr>
        <w:fldChar w:fldCharType="end"/>
      </w:r>
      <w:r>
        <w:rPr>
          <w:rFonts w:hint="eastAsia" w:ascii="Times New Roman" w:hAnsi="Times New Roman" w:cs="Times New Roman"/>
          <w:color w:val="auto"/>
          <w:sz w:val="32"/>
          <w:szCs w:val="32"/>
        </w:rPr>
        <w:t>类标准，</w:t>
      </w:r>
      <w:r>
        <w:rPr>
          <w:rFonts w:ascii="Times New Roman" w:hAnsi="Times New Roman" w:cs="Times New Roman"/>
          <w:color w:val="auto"/>
          <w:sz w:val="32"/>
          <w:szCs w:val="32"/>
        </w:rPr>
        <w:t>入黄河口国控</w:t>
      </w:r>
      <w:r>
        <w:rPr>
          <w:rFonts w:hint="eastAsia" w:ascii="Times New Roman" w:hAnsi="Times New Roman" w:cs="Times New Roman"/>
          <w:color w:val="auto"/>
          <w:sz w:val="32"/>
          <w:szCs w:val="32"/>
        </w:rPr>
        <w:t>断面水质达到地表水</w:t>
      </w:r>
      <w:r>
        <w:rPr>
          <w:rFonts w:hint="eastAsia" w:ascii="Times New Roman" w:hAnsi="Times New Roman" w:cs="Times New Roman"/>
          <w:color w:val="auto"/>
          <w:sz w:val="32"/>
          <w:szCs w:val="32"/>
        </w:rPr>
        <w:fldChar w:fldCharType="begin"/>
      </w:r>
      <w:r>
        <w:rPr>
          <w:rFonts w:hint="eastAsia" w:ascii="Times New Roman" w:hAnsi="Times New Roman" w:cs="Times New Roman"/>
          <w:color w:val="auto"/>
          <w:sz w:val="32"/>
          <w:szCs w:val="32"/>
        </w:rPr>
        <w:instrText xml:space="preserve">= 3 \* ROMAN</w:instrText>
      </w:r>
      <w:r>
        <w:rPr>
          <w:rFonts w:hint="eastAsia" w:ascii="Times New Roman" w:hAnsi="Times New Roman" w:cs="Times New Roman"/>
          <w:color w:val="auto"/>
          <w:sz w:val="32"/>
          <w:szCs w:val="32"/>
        </w:rPr>
        <w:fldChar w:fldCharType="separate"/>
      </w:r>
      <w:r>
        <w:rPr>
          <w:rFonts w:hint="eastAsia" w:ascii="Times New Roman" w:hAnsi="Times New Roman" w:cs="Times New Roman"/>
          <w:color w:val="auto"/>
          <w:sz w:val="32"/>
          <w:szCs w:val="32"/>
        </w:rPr>
        <w:t>III</w:t>
      </w:r>
      <w:r>
        <w:rPr>
          <w:rFonts w:hint="eastAsia" w:ascii="Times New Roman" w:hAnsi="Times New Roman" w:cs="Times New Roman"/>
          <w:color w:val="auto"/>
          <w:sz w:val="32"/>
          <w:szCs w:val="32"/>
        </w:rPr>
        <w:fldChar w:fldCharType="end"/>
      </w:r>
      <w:r>
        <w:rPr>
          <w:rFonts w:hint="eastAsia" w:ascii="Times New Roman" w:hAnsi="Times New Roman" w:cs="Times New Roman"/>
          <w:color w:val="auto"/>
          <w:sz w:val="32"/>
          <w:szCs w:val="32"/>
        </w:rPr>
        <w:t>类标准，均</w:t>
      </w:r>
      <w:r>
        <w:rPr>
          <w:rFonts w:hint="eastAsia"/>
          <w:color w:val="auto"/>
          <w:sz w:val="32"/>
          <w:szCs w:val="32"/>
        </w:rPr>
        <w:t>优于考核目标。</w:t>
      </w:r>
      <w:r>
        <w:rPr>
          <w:rFonts w:hint="eastAsia" w:ascii="Times New Roman" w:hAnsi="Times New Roman" w:cs="Times New Roman"/>
          <w:color w:val="auto"/>
          <w:sz w:val="32"/>
          <w:szCs w:val="32"/>
        </w:rPr>
        <w:t>主要污染物浓度见表2.3-1。</w:t>
      </w:r>
    </w:p>
    <w:p>
      <w:pPr>
        <w:spacing w:beforeLines="50" w:afterLines="50" w:line="240" w:lineRule="auto"/>
        <w:ind w:firstLine="0" w:firstLineChars="0"/>
        <w:jc w:val="center"/>
        <w:rPr>
          <w:rFonts w:ascii="Times New Roman" w:hAnsi="Times New Roman" w:cs="Times New Roman"/>
          <w:b/>
          <w:color w:val="auto"/>
          <w:sz w:val="24"/>
        </w:rPr>
      </w:pPr>
      <w:r>
        <w:rPr>
          <w:rFonts w:hint="eastAsia" w:ascii="Times New Roman" w:hAnsi="Times New Roman" w:cs="Times New Roman"/>
          <w:b/>
          <w:color w:val="auto"/>
          <w:sz w:val="24"/>
        </w:rPr>
        <w:t>表2.3-1  2021年长清区省控及以上河流断面主要污染物浓度情况汇总</w:t>
      </w:r>
    </w:p>
    <w:p>
      <w:pPr>
        <w:spacing w:beforeLines="50" w:afterLines="50" w:line="240" w:lineRule="auto"/>
        <w:ind w:firstLine="0" w:firstLineChars="0"/>
        <w:jc w:val="right"/>
        <w:rPr>
          <w:rFonts w:ascii="Times New Roman" w:hAnsi="Times New Roman" w:cs="Times New Roman"/>
          <w:b/>
          <w:color w:val="auto"/>
          <w:sz w:val="24"/>
        </w:rPr>
      </w:pPr>
      <w:r>
        <w:rPr>
          <w:rFonts w:hint="eastAsia" w:ascii="Times New Roman" w:hAnsi="Times New Roman" w:cs="Times New Roman"/>
          <w:b/>
          <w:color w:val="auto"/>
          <w:sz w:val="24"/>
        </w:rPr>
        <w:t>单位：mg/L</w:t>
      </w:r>
    </w:p>
    <w:tbl>
      <w:tblPr>
        <w:tblStyle w:val="29"/>
        <w:tblW w:w="493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233"/>
        <w:gridCol w:w="1975"/>
        <w:gridCol w:w="1008"/>
        <w:gridCol w:w="757"/>
        <w:gridCol w:w="1402"/>
        <w:gridCol w:w="884"/>
        <w:gridCol w:w="748"/>
        <w:gridCol w:w="93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9"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sz w:val="21"/>
                <w:szCs w:val="21"/>
              </w:rPr>
            </w:pPr>
            <w:r>
              <w:rPr>
                <w:rFonts w:ascii="Times New Roman" w:hAnsi="Times New Roman" w:cs="Times New Roman"/>
                <w:bCs/>
                <w:color w:val="auto"/>
                <w:kern w:val="0"/>
                <w:sz w:val="21"/>
                <w:szCs w:val="21"/>
              </w:rPr>
              <w:t>水体</w:t>
            </w:r>
          </w:p>
        </w:tc>
        <w:tc>
          <w:tcPr>
            <w:tcW w:w="110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sz w:val="21"/>
                <w:szCs w:val="21"/>
              </w:rPr>
            </w:pPr>
            <w:r>
              <w:rPr>
                <w:rFonts w:ascii="Times New Roman" w:hAnsi="Times New Roman" w:cs="Times New Roman"/>
                <w:bCs/>
                <w:color w:val="auto"/>
                <w:kern w:val="0"/>
                <w:sz w:val="21"/>
                <w:szCs w:val="21"/>
              </w:rPr>
              <w:t>断面名称</w:t>
            </w:r>
          </w:p>
        </w:tc>
        <w:tc>
          <w:tcPr>
            <w:tcW w:w="56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sz w:val="21"/>
                <w:szCs w:val="21"/>
              </w:rPr>
            </w:pPr>
            <w:r>
              <w:rPr>
                <w:rFonts w:ascii="Times New Roman" w:hAnsi="Times New Roman" w:cs="Times New Roman"/>
                <w:bCs/>
                <w:color w:val="auto"/>
                <w:kern w:val="0"/>
                <w:sz w:val="21"/>
                <w:szCs w:val="21"/>
              </w:rPr>
              <w:t>水质目标</w:t>
            </w:r>
          </w:p>
        </w:tc>
        <w:tc>
          <w:tcPr>
            <w:tcW w:w="42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水质类别</w:t>
            </w:r>
          </w:p>
        </w:tc>
        <w:tc>
          <w:tcPr>
            <w:tcW w:w="78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sz w:val="21"/>
                <w:szCs w:val="21"/>
              </w:rPr>
            </w:pPr>
            <w:r>
              <w:rPr>
                <w:rFonts w:ascii="Times New Roman" w:hAnsi="Times New Roman" w:cs="Times New Roman"/>
                <w:bCs/>
                <w:color w:val="auto"/>
                <w:kern w:val="0"/>
                <w:sz w:val="21"/>
                <w:szCs w:val="21"/>
              </w:rPr>
              <w:t>化学需氧量</w:t>
            </w:r>
          </w:p>
        </w:tc>
        <w:tc>
          <w:tcPr>
            <w:tcW w:w="494"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sz w:val="21"/>
                <w:szCs w:val="21"/>
              </w:rPr>
            </w:pPr>
            <w:r>
              <w:rPr>
                <w:rFonts w:ascii="Times New Roman" w:hAnsi="Times New Roman" w:cs="Times New Roman"/>
                <w:bCs/>
                <w:color w:val="auto"/>
                <w:kern w:val="0"/>
                <w:sz w:val="21"/>
                <w:szCs w:val="21"/>
              </w:rPr>
              <w:t>氨氮</w:t>
            </w:r>
          </w:p>
        </w:tc>
        <w:tc>
          <w:tcPr>
            <w:tcW w:w="418"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sz w:val="21"/>
                <w:szCs w:val="21"/>
              </w:rPr>
            </w:pPr>
            <w:r>
              <w:rPr>
                <w:rFonts w:ascii="Times New Roman" w:hAnsi="Times New Roman" w:cs="Times New Roman"/>
                <w:bCs/>
                <w:color w:val="auto"/>
                <w:kern w:val="0"/>
                <w:sz w:val="21"/>
                <w:szCs w:val="21"/>
              </w:rPr>
              <w:t>总磷</w:t>
            </w:r>
          </w:p>
        </w:tc>
        <w:tc>
          <w:tcPr>
            <w:tcW w:w="524"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sz w:val="21"/>
                <w:szCs w:val="21"/>
              </w:rPr>
            </w:pPr>
            <w:r>
              <w:rPr>
                <w:rFonts w:ascii="Times New Roman" w:hAnsi="Times New Roman" w:cs="Times New Roman"/>
                <w:bCs/>
                <w:color w:val="auto"/>
                <w:kern w:val="0"/>
                <w:sz w:val="21"/>
                <w:szCs w:val="21"/>
              </w:rPr>
              <w:t>氟化物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9"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北大沙河</w:t>
            </w:r>
          </w:p>
        </w:tc>
        <w:tc>
          <w:tcPr>
            <w:tcW w:w="110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入黄河口</w:t>
            </w:r>
            <w:r>
              <w:rPr>
                <w:rFonts w:hint="eastAsia" w:ascii="Times New Roman" w:hAnsi="Times New Roman" w:cs="Times New Roman"/>
                <w:bCs/>
                <w:color w:val="auto"/>
                <w:kern w:val="0"/>
                <w:sz w:val="21"/>
                <w:szCs w:val="21"/>
              </w:rPr>
              <w:t>（国控）</w:t>
            </w:r>
          </w:p>
        </w:tc>
        <w:tc>
          <w:tcPr>
            <w:tcW w:w="56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Ⅳ</w:t>
            </w:r>
          </w:p>
        </w:tc>
        <w:tc>
          <w:tcPr>
            <w:tcW w:w="42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Ⅲ</w:t>
            </w:r>
          </w:p>
        </w:tc>
        <w:tc>
          <w:tcPr>
            <w:tcW w:w="78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17.0</w:t>
            </w:r>
          </w:p>
        </w:tc>
        <w:tc>
          <w:tcPr>
            <w:tcW w:w="494"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0.52</w:t>
            </w:r>
          </w:p>
        </w:tc>
        <w:tc>
          <w:tcPr>
            <w:tcW w:w="418"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0.12</w:t>
            </w:r>
          </w:p>
        </w:tc>
        <w:tc>
          <w:tcPr>
            <w:tcW w:w="524"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9"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北大沙河</w:t>
            </w:r>
          </w:p>
        </w:tc>
        <w:tc>
          <w:tcPr>
            <w:tcW w:w="110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万德（市控）</w:t>
            </w:r>
          </w:p>
        </w:tc>
        <w:tc>
          <w:tcPr>
            <w:tcW w:w="56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Ⅳ</w:t>
            </w:r>
          </w:p>
        </w:tc>
        <w:tc>
          <w:tcPr>
            <w:tcW w:w="42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hint="eastAsia" w:ascii="Times New Roman" w:hAnsi="Times New Roman" w:cs="Times New Roman"/>
                <w:color w:val="auto"/>
                <w:sz w:val="21"/>
                <w:szCs w:val="21"/>
              </w:rPr>
              <w:fldChar w:fldCharType="begin"/>
            </w:r>
            <w:r>
              <w:rPr>
                <w:rFonts w:hint="eastAsia" w:ascii="Times New Roman" w:hAnsi="Times New Roman" w:cs="Times New Roman"/>
                <w:color w:val="auto"/>
                <w:sz w:val="21"/>
                <w:szCs w:val="21"/>
              </w:rPr>
              <w:instrText xml:space="preserve">= 3 \* ROMAN</w:instrText>
            </w:r>
            <w:r>
              <w:rPr>
                <w:rFonts w:hint="eastAsia" w:ascii="Times New Roman" w:hAnsi="Times New Roman" w:cs="Times New Roman"/>
                <w:color w:val="auto"/>
                <w:sz w:val="21"/>
                <w:szCs w:val="21"/>
              </w:rPr>
              <w:fldChar w:fldCharType="separate"/>
            </w:r>
            <w:r>
              <w:rPr>
                <w:rFonts w:hint="eastAsia" w:ascii="Times New Roman" w:hAnsi="Times New Roman" w:cs="Times New Roman"/>
                <w:color w:val="auto"/>
                <w:sz w:val="21"/>
                <w:szCs w:val="21"/>
              </w:rPr>
              <w:t>II</w:t>
            </w:r>
            <w:r>
              <w:rPr>
                <w:rFonts w:hint="eastAsia" w:ascii="Times New Roman" w:hAnsi="Times New Roman" w:cs="Times New Roman"/>
                <w:color w:val="auto"/>
                <w:sz w:val="21"/>
                <w:szCs w:val="21"/>
              </w:rPr>
              <w:fldChar w:fldCharType="end"/>
            </w:r>
          </w:p>
        </w:tc>
        <w:tc>
          <w:tcPr>
            <w:tcW w:w="78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14.6</w:t>
            </w:r>
          </w:p>
        </w:tc>
        <w:tc>
          <w:tcPr>
            <w:tcW w:w="494"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0.26</w:t>
            </w:r>
          </w:p>
        </w:tc>
        <w:tc>
          <w:tcPr>
            <w:tcW w:w="418"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0.05</w:t>
            </w:r>
          </w:p>
        </w:tc>
        <w:tc>
          <w:tcPr>
            <w:tcW w:w="524"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792" w:type="pct"/>
            <w:gridSpan w:val="2"/>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Ⅳ类标准</w:t>
            </w:r>
          </w:p>
        </w:tc>
        <w:tc>
          <w:tcPr>
            <w:tcW w:w="563"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w:t>
            </w:r>
          </w:p>
        </w:tc>
        <w:tc>
          <w:tcPr>
            <w:tcW w:w="42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w:t>
            </w:r>
          </w:p>
        </w:tc>
        <w:tc>
          <w:tcPr>
            <w:tcW w:w="783"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≤30</w:t>
            </w:r>
          </w:p>
        </w:tc>
        <w:tc>
          <w:tcPr>
            <w:tcW w:w="494"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≤1.5</w:t>
            </w:r>
          </w:p>
        </w:tc>
        <w:tc>
          <w:tcPr>
            <w:tcW w:w="418"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≤0.3</w:t>
            </w:r>
          </w:p>
        </w:tc>
        <w:tc>
          <w:tcPr>
            <w:tcW w:w="524" w:type="pct"/>
            <w:tcBorders>
              <w:tl2br w:val="nil"/>
              <w:tr2bl w:val="nil"/>
            </w:tcBorders>
            <w:vAlign w:val="center"/>
          </w:tcPr>
          <w:p>
            <w:pPr>
              <w:spacing w:line="240" w:lineRule="auto"/>
              <w:ind w:firstLine="0" w:firstLineChars="0"/>
              <w:jc w:val="center"/>
              <w:textAlignment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≤1.5</w:t>
            </w:r>
          </w:p>
        </w:tc>
      </w:tr>
    </w:tbl>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2021年，长清区饮用水水源类型分为河流型和地下水型，共</w:t>
      </w:r>
      <w:r>
        <w:rPr>
          <w:rFonts w:ascii="Times New Roman" w:hAnsi="Times New Roman" w:cs="Times New Roman"/>
          <w:color w:val="auto"/>
          <w:sz w:val="32"/>
          <w:szCs w:val="32"/>
        </w:rPr>
        <w:t>6</w:t>
      </w:r>
      <w:r>
        <w:rPr>
          <w:rFonts w:hint="eastAsia" w:ascii="Times New Roman" w:hAnsi="Times New Roman" w:cs="Times New Roman"/>
          <w:color w:val="auto"/>
          <w:sz w:val="32"/>
          <w:szCs w:val="32"/>
        </w:rPr>
        <w:t>个县级集中式饮用水水源地，包括济平干渠1处地表饮用水水源地和长清二水厂、冷庄水源地、桥子李水源地、长清一水厂、曹楼水源地等</w:t>
      </w:r>
      <w:r>
        <w:rPr>
          <w:rFonts w:ascii="Times New Roman" w:hAnsi="Times New Roman" w:cs="Times New Roman"/>
          <w:color w:val="auto"/>
          <w:sz w:val="32"/>
          <w:szCs w:val="32"/>
        </w:rPr>
        <w:t>5</w:t>
      </w:r>
      <w:r>
        <w:rPr>
          <w:rFonts w:hint="eastAsia" w:ascii="Times New Roman" w:hAnsi="Times New Roman" w:cs="Times New Roman"/>
          <w:color w:val="auto"/>
          <w:sz w:val="32"/>
          <w:szCs w:val="32"/>
        </w:rPr>
        <w:t>处地下饮用水水源地。根据《地下水质量标准》（GB/T14848-2017）进行评价，6处集中式饮用水水源地水质达到或优于Ⅲ类标准，水质达标率为</w:t>
      </w:r>
      <w:r>
        <w:rPr>
          <w:rFonts w:ascii="Times New Roman" w:hAnsi="Times New Roman" w:cs="Times New Roman"/>
          <w:color w:val="auto"/>
          <w:sz w:val="32"/>
          <w:szCs w:val="32"/>
        </w:rPr>
        <w:t>100%</w:t>
      </w:r>
      <w:r>
        <w:rPr>
          <w:rFonts w:hint="eastAsia" w:ascii="Times New Roman" w:hAnsi="Times New Roman" w:cs="Times New Roman"/>
          <w:color w:val="auto"/>
          <w:sz w:val="32"/>
          <w:szCs w:val="32"/>
        </w:rPr>
        <w:t>，水质安全得到有效保障。</w:t>
      </w:r>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2.3.</w:t>
      </w:r>
      <w:r>
        <w:rPr>
          <w:rFonts w:hint="eastAsia"/>
          <w:color w:val="auto"/>
          <w:sz w:val="32"/>
          <w:szCs w:val="32"/>
        </w:rPr>
        <w:t>3土壤</w:t>
      </w:r>
      <w:r>
        <w:rPr>
          <w:color w:val="auto"/>
          <w:sz w:val="32"/>
          <w:szCs w:val="32"/>
        </w:rPr>
        <w:t>环境质量</w:t>
      </w:r>
      <w:r>
        <w:rPr>
          <w:rFonts w:hint="eastAsia"/>
          <w:color w:val="auto"/>
          <w:sz w:val="32"/>
          <w:szCs w:val="32"/>
        </w:rPr>
        <w:t>状况</w:t>
      </w:r>
    </w:p>
    <w:p>
      <w:pPr>
        <w:widowControl w:val="0"/>
        <w:spacing w:line="580" w:lineRule="exact"/>
        <w:ind w:firstLine="640"/>
        <w:jc w:val="both"/>
        <w:rPr>
          <w:color w:val="auto"/>
          <w:sz w:val="32"/>
          <w:szCs w:val="32"/>
        </w:rPr>
      </w:pPr>
      <w:r>
        <w:rPr>
          <w:rFonts w:ascii="Times New Roman" w:hAnsi="Times New Roman" w:cs="Times New Roman"/>
          <w:color w:val="auto"/>
          <w:sz w:val="32"/>
          <w:szCs w:val="32"/>
        </w:rPr>
        <w:t>根据《2021年济南市环境质量简报》，济南市共设置102个土壤环境质量监测点位，其中基础点77个，主要为耕地；背景点6个，主要为耕地、林地；风险点9个，主要为污染源周边的耕地；省控点位10个，主要为污染源周边的耕地。</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2021年</w:t>
      </w:r>
      <w:r>
        <w:rPr>
          <w:rFonts w:hint="eastAsia" w:ascii="Times New Roman" w:hAnsi="Times New Roman" w:cs="Times New Roman"/>
          <w:color w:val="auto"/>
          <w:sz w:val="32"/>
          <w:szCs w:val="32"/>
        </w:rPr>
        <w:t>，</w:t>
      </w:r>
      <w:r>
        <w:rPr>
          <w:rFonts w:ascii="Times New Roman" w:hAnsi="Times New Roman" w:cs="Times New Roman"/>
          <w:color w:val="auto"/>
          <w:sz w:val="32"/>
          <w:szCs w:val="32"/>
        </w:rPr>
        <w:t>土壤环境质量监测工作由济南市生态环境局组织开展，长清区暂未开展相关工作。根据2020年长清区耕地土壤环境质量类别划分结果，长清区下辖10个</w:t>
      </w:r>
      <w:r>
        <w:rPr>
          <w:rFonts w:hint="eastAsia" w:ascii="Times New Roman" w:hAnsi="Times New Roman" w:cs="Times New Roman"/>
          <w:color w:val="auto"/>
          <w:sz w:val="32"/>
          <w:szCs w:val="32"/>
        </w:rPr>
        <w:t>镇街</w:t>
      </w:r>
      <w:r>
        <w:rPr>
          <w:rFonts w:ascii="Times New Roman" w:hAnsi="Times New Roman" w:cs="Times New Roman"/>
          <w:color w:val="auto"/>
          <w:sz w:val="32"/>
          <w:szCs w:val="32"/>
        </w:rPr>
        <w:t>耕地面积693849亩</w:t>
      </w:r>
      <w:r>
        <w:rPr>
          <w:rFonts w:hint="eastAsia" w:ascii="Times New Roman" w:hAnsi="Times New Roman" w:cs="Times New Roman"/>
          <w:color w:val="auto"/>
          <w:sz w:val="32"/>
          <w:szCs w:val="32"/>
        </w:rPr>
        <w:t>，全部</w:t>
      </w:r>
      <w:r>
        <w:rPr>
          <w:rFonts w:ascii="Times New Roman" w:hAnsi="Times New Roman" w:cs="Times New Roman"/>
          <w:color w:val="auto"/>
          <w:sz w:val="32"/>
          <w:szCs w:val="32"/>
        </w:rPr>
        <w:t>划分为优先保护类耕地，</w:t>
      </w:r>
      <w:r>
        <w:rPr>
          <w:rFonts w:hint="eastAsia" w:ascii="Times New Roman" w:hAnsi="Times New Roman" w:cs="Times New Roman"/>
          <w:color w:val="auto"/>
          <w:sz w:val="32"/>
          <w:szCs w:val="32"/>
        </w:rPr>
        <w:t>安全利用率为</w:t>
      </w:r>
      <w:r>
        <w:rPr>
          <w:rFonts w:ascii="Times New Roman" w:hAnsi="Times New Roman" w:cs="Times New Roman"/>
          <w:color w:val="auto"/>
          <w:sz w:val="32"/>
          <w:szCs w:val="32"/>
        </w:rPr>
        <w:t>100%</w:t>
      </w:r>
      <w:r>
        <w:rPr>
          <w:rFonts w:hint="eastAsia" w:ascii="Times New Roman" w:hAnsi="Times New Roman" w:cs="Times New Roman"/>
          <w:color w:val="auto"/>
          <w:sz w:val="32"/>
          <w:szCs w:val="32"/>
        </w:rPr>
        <w:t>，</w:t>
      </w:r>
      <w:r>
        <w:rPr>
          <w:rFonts w:hint="eastAsia" w:ascii="Times New Roman" w:hAnsi="Times New Roman" w:eastAsia="FangSong_GB2312"/>
          <w:bCs/>
          <w:color w:val="auto"/>
          <w:sz w:val="32"/>
          <w:szCs w:val="32"/>
        </w:rPr>
        <w:t>没有出现土壤污染违法活动或因土壤污染导致农产品超标、人居环境安全事件，土壤生态环境稳定安全。</w:t>
      </w:r>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w:t>
      </w:r>
      <w:r>
        <w:rPr>
          <w:rFonts w:hint="eastAsia"/>
          <w:color w:val="auto"/>
          <w:sz w:val="32"/>
          <w:szCs w:val="32"/>
        </w:rPr>
        <w:t>3</w:t>
      </w:r>
      <w:r>
        <w:rPr>
          <w:color w:val="auto"/>
          <w:sz w:val="32"/>
          <w:szCs w:val="32"/>
        </w:rPr>
        <w:t>.4需要关注的重点环境问题</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（1）近年来，长清区空气环境质量整体较好，但仍存在部分养殖场户</w:t>
      </w:r>
      <w:r>
        <w:rPr>
          <w:rFonts w:ascii="Times New Roman" w:hAnsi="Times New Roman" w:cs="Times New Roman"/>
          <w:color w:val="auto"/>
          <w:sz w:val="32"/>
          <w:szCs w:val="32"/>
        </w:rPr>
        <w:t>粪</w:t>
      </w:r>
      <w:r>
        <w:rPr>
          <w:rFonts w:hint="eastAsia" w:ascii="Times New Roman" w:hAnsi="Times New Roman" w:cs="Times New Roman"/>
          <w:color w:val="auto"/>
          <w:sz w:val="32"/>
          <w:szCs w:val="32"/>
        </w:rPr>
        <w:t>污</w:t>
      </w:r>
      <w:r>
        <w:rPr>
          <w:rFonts w:ascii="Times New Roman" w:hAnsi="Times New Roman" w:cs="Times New Roman"/>
          <w:color w:val="auto"/>
          <w:sz w:val="32"/>
          <w:szCs w:val="32"/>
        </w:rPr>
        <w:t>清</w:t>
      </w:r>
      <w:r>
        <w:rPr>
          <w:rFonts w:hint="eastAsia" w:ascii="Times New Roman" w:hAnsi="Times New Roman" w:cs="Times New Roman"/>
          <w:color w:val="auto"/>
          <w:sz w:val="32"/>
          <w:szCs w:val="32"/>
        </w:rPr>
        <w:t>理</w:t>
      </w:r>
      <w:r>
        <w:rPr>
          <w:rFonts w:ascii="Times New Roman" w:hAnsi="Times New Roman" w:cs="Times New Roman"/>
          <w:color w:val="auto"/>
          <w:sz w:val="32"/>
          <w:szCs w:val="32"/>
        </w:rPr>
        <w:t>不及时</w:t>
      </w:r>
      <w:r>
        <w:rPr>
          <w:rFonts w:hint="eastAsia" w:ascii="Times New Roman" w:hAnsi="Times New Roman" w:cs="Times New Roman"/>
          <w:color w:val="auto"/>
          <w:sz w:val="32"/>
          <w:szCs w:val="32"/>
        </w:rPr>
        <w:t>、储粪多，臭气污染及除臭措施改进问题</w:t>
      </w:r>
      <w:r>
        <w:rPr>
          <w:bCs/>
          <w:color w:val="auto"/>
          <w:sz w:val="32"/>
          <w:szCs w:val="32"/>
        </w:rPr>
        <w:t>仍需进一步关注</w:t>
      </w:r>
      <w:r>
        <w:rPr>
          <w:rFonts w:ascii="Times New Roman" w:hAnsi="Times New Roman" w:cs="Times New Roman"/>
          <w:color w:val="auto"/>
          <w:sz w:val="32"/>
          <w:szCs w:val="32"/>
        </w:rPr>
        <w:t>；</w:t>
      </w:r>
      <w:r>
        <w:rPr>
          <w:rFonts w:hint="eastAsia" w:ascii="Times New Roman" w:hAnsi="Times New Roman" w:cs="Times New Roman"/>
          <w:color w:val="auto"/>
          <w:sz w:val="32"/>
          <w:szCs w:val="32"/>
        </w:rPr>
        <w:t>（2）目前，长清区畜禽规模养殖场粪污处理设施配套率达100%，专业户粪污处理设施配套率达90%，整体配套率较高，但</w:t>
      </w:r>
      <w:r>
        <w:rPr>
          <w:rFonts w:ascii="Times New Roman" w:hAnsi="Times New Roman" w:cs="Times New Roman"/>
          <w:color w:val="auto"/>
          <w:sz w:val="32"/>
          <w:szCs w:val="32"/>
        </w:rPr>
        <w:t>养殖场</w:t>
      </w:r>
      <w:r>
        <w:rPr>
          <w:rFonts w:hint="eastAsia" w:ascii="Times New Roman" w:hAnsi="Times New Roman" w:cs="Times New Roman"/>
          <w:color w:val="auto"/>
          <w:sz w:val="32"/>
          <w:szCs w:val="32"/>
        </w:rPr>
        <w:t>户</w:t>
      </w:r>
      <w:r>
        <w:rPr>
          <w:rFonts w:ascii="Times New Roman" w:hAnsi="Times New Roman" w:cs="Times New Roman"/>
          <w:color w:val="auto"/>
          <w:sz w:val="32"/>
          <w:szCs w:val="32"/>
        </w:rPr>
        <w:t>雨污分离设施</w:t>
      </w:r>
      <w:r>
        <w:rPr>
          <w:rFonts w:hint="eastAsia" w:ascii="Times New Roman" w:hAnsi="Times New Roman" w:cs="Times New Roman"/>
          <w:color w:val="auto"/>
          <w:sz w:val="32"/>
          <w:szCs w:val="32"/>
        </w:rPr>
        <w:t>存在运行</w:t>
      </w:r>
      <w:r>
        <w:rPr>
          <w:rFonts w:hint="eastAsia"/>
          <w:bCs/>
          <w:color w:val="auto"/>
          <w:sz w:val="32"/>
          <w:szCs w:val="32"/>
        </w:rPr>
        <w:t>不稳定</w:t>
      </w:r>
      <w:r>
        <w:rPr>
          <w:rFonts w:ascii="Times New Roman" w:hAnsi="Times New Roman" w:cs="Times New Roman"/>
          <w:color w:val="auto"/>
          <w:sz w:val="32"/>
          <w:szCs w:val="32"/>
        </w:rPr>
        <w:t>，维护不到位</w:t>
      </w:r>
      <w:r>
        <w:rPr>
          <w:rFonts w:hint="eastAsia" w:ascii="Times New Roman" w:hAnsi="Times New Roman" w:cs="Times New Roman"/>
          <w:color w:val="auto"/>
          <w:sz w:val="32"/>
          <w:szCs w:val="32"/>
        </w:rPr>
        <w:t>的情况</w:t>
      </w:r>
      <w:r>
        <w:rPr>
          <w:rFonts w:hint="eastAsia"/>
          <w:bCs/>
          <w:color w:val="auto"/>
          <w:sz w:val="32"/>
          <w:szCs w:val="32"/>
        </w:rPr>
        <w:t>，粪肥外溢会导致</w:t>
      </w:r>
      <w:r>
        <w:rPr>
          <w:rFonts w:hint="eastAsia" w:ascii="Times New Roman" w:hAnsi="Times New Roman" w:cs="Times New Roman"/>
          <w:color w:val="auto"/>
          <w:sz w:val="32"/>
          <w:szCs w:val="32"/>
        </w:rPr>
        <w:t>一定的</w:t>
      </w:r>
      <w:r>
        <w:rPr>
          <w:rFonts w:ascii="Times New Roman" w:hAnsi="Times New Roman" w:cs="Times New Roman"/>
          <w:color w:val="auto"/>
          <w:sz w:val="32"/>
          <w:szCs w:val="32"/>
        </w:rPr>
        <w:t>农业面源污染</w:t>
      </w:r>
      <w:r>
        <w:rPr>
          <w:rFonts w:hint="eastAsia" w:ascii="Times New Roman" w:hAnsi="Times New Roman" w:cs="Times New Roman"/>
          <w:color w:val="auto"/>
          <w:sz w:val="32"/>
          <w:szCs w:val="32"/>
        </w:rPr>
        <w:t>隐患</w:t>
      </w:r>
      <w:r>
        <w:rPr>
          <w:rFonts w:ascii="Times New Roman" w:hAnsi="Times New Roman" w:cs="Times New Roman"/>
          <w:color w:val="auto"/>
          <w:sz w:val="32"/>
          <w:szCs w:val="32"/>
        </w:rPr>
        <w:t>。</w:t>
      </w:r>
    </w:p>
    <w:p>
      <w:pPr>
        <w:pStyle w:val="4"/>
        <w:spacing w:beforeLines="0" w:afterLines="0" w:line="580" w:lineRule="exact"/>
        <w:ind w:firstLine="641"/>
        <w:jc w:val="both"/>
        <w:rPr>
          <w:rFonts w:eastAsia="华文楷体"/>
          <w:color w:val="auto"/>
          <w:sz w:val="32"/>
          <w:szCs w:val="32"/>
        </w:rPr>
      </w:pPr>
      <w:bookmarkStart w:id="75" w:name="_Toc21060"/>
      <w:r>
        <w:rPr>
          <w:rFonts w:eastAsia="华文楷体"/>
          <w:color w:val="auto"/>
          <w:sz w:val="32"/>
          <w:szCs w:val="32"/>
        </w:rPr>
        <w:t>2.4</w:t>
      </w:r>
      <w:r>
        <w:rPr>
          <w:rFonts w:hint="eastAsia" w:ascii="楷体_GB2312" w:eastAsia="楷体_GB2312"/>
          <w:color w:val="auto"/>
          <w:sz w:val="32"/>
          <w:szCs w:val="32"/>
        </w:rPr>
        <w:t>养殖污染防治现状</w:t>
      </w:r>
      <w:bookmarkEnd w:id="75"/>
    </w:p>
    <w:p>
      <w:pPr>
        <w:pStyle w:val="5"/>
        <w:keepNext w:val="0"/>
        <w:keepLines w:val="0"/>
        <w:widowControl w:val="0"/>
        <w:spacing w:beforeLines="0" w:afterLines="0" w:line="580" w:lineRule="exact"/>
        <w:ind w:firstLine="643" w:firstLineChars="200"/>
        <w:jc w:val="both"/>
        <w:rPr>
          <w:color w:val="auto"/>
          <w:sz w:val="32"/>
          <w:szCs w:val="32"/>
        </w:rPr>
      </w:pPr>
      <w:bookmarkStart w:id="76" w:name="_Toc117837743"/>
      <w:bookmarkStart w:id="77" w:name="_Toc213"/>
      <w:bookmarkStart w:id="78" w:name="_Toc112078500"/>
      <w:bookmarkStart w:id="79" w:name="_Toc117788569"/>
      <w:r>
        <w:rPr>
          <w:rFonts w:hint="eastAsia"/>
          <w:color w:val="auto"/>
          <w:sz w:val="32"/>
          <w:szCs w:val="32"/>
        </w:rPr>
        <w:t>2.4.1畜禽养殖现状</w:t>
      </w:r>
      <w:bookmarkEnd w:id="76"/>
      <w:bookmarkEnd w:id="77"/>
      <w:bookmarkEnd w:id="78"/>
      <w:bookmarkEnd w:id="79"/>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2.4.1.1长清区畜禽养殖情况</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2021年，长清区共有畜禽规模养殖场52家</w:t>
      </w:r>
      <w:r>
        <w:rPr>
          <w:rFonts w:ascii="Times New Roman" w:hAnsi="Times New Roman" w:cs="Times New Roman"/>
          <w:color w:val="auto"/>
          <w:sz w:val="32"/>
          <w:szCs w:val="32"/>
        </w:rPr>
        <w:t>，其中，文昌街道7</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、归德街道10</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、平安街道</w:t>
      </w:r>
      <w:r>
        <w:rPr>
          <w:rFonts w:hint="eastAsia" w:ascii="Times New Roman" w:hAnsi="Times New Roman" w:cs="Times New Roman"/>
          <w:color w:val="auto"/>
          <w:sz w:val="32"/>
          <w:szCs w:val="32"/>
        </w:rPr>
        <w:t>7家</w:t>
      </w:r>
      <w:r>
        <w:rPr>
          <w:rFonts w:ascii="Times New Roman" w:hAnsi="Times New Roman" w:cs="Times New Roman"/>
          <w:color w:val="auto"/>
          <w:sz w:val="32"/>
          <w:szCs w:val="32"/>
        </w:rPr>
        <w:t>、张夏街道8</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、马山镇7</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、孝里街道5</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、万德街道</w:t>
      </w:r>
      <w:r>
        <w:rPr>
          <w:rFonts w:hint="eastAsia" w:ascii="Times New Roman" w:hAnsi="Times New Roman" w:cs="Times New Roman"/>
          <w:color w:val="auto"/>
          <w:sz w:val="32"/>
          <w:szCs w:val="32"/>
        </w:rPr>
        <w:t>6家</w:t>
      </w:r>
      <w:r>
        <w:rPr>
          <w:rFonts w:ascii="Times New Roman" w:hAnsi="Times New Roman" w:cs="Times New Roman"/>
          <w:color w:val="auto"/>
          <w:sz w:val="32"/>
          <w:szCs w:val="32"/>
        </w:rPr>
        <w:t>、五峰山街道1</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、双泉镇1</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；在52</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畜禽规模养殖场中，共有生猪养殖场1</w:t>
      </w:r>
      <w:r>
        <w:rPr>
          <w:rFonts w:hint="eastAsia" w:ascii="Times New Roman" w:hAnsi="Times New Roman" w:cs="Times New Roman"/>
          <w:color w:val="auto"/>
          <w:sz w:val="32"/>
          <w:szCs w:val="32"/>
        </w:rPr>
        <w:t>8家</w:t>
      </w:r>
      <w:r>
        <w:rPr>
          <w:rFonts w:ascii="Times New Roman" w:hAnsi="Times New Roman" w:cs="Times New Roman"/>
          <w:color w:val="auto"/>
          <w:sz w:val="32"/>
          <w:szCs w:val="32"/>
        </w:rPr>
        <w:t>，奶牛养殖场6</w:t>
      </w:r>
      <w:r>
        <w:rPr>
          <w:rFonts w:hint="eastAsia" w:ascii="Times New Roman" w:hAnsi="Times New Roman" w:cs="Times New Roman"/>
          <w:color w:val="auto"/>
          <w:sz w:val="32"/>
          <w:szCs w:val="32"/>
        </w:rPr>
        <w:t>家（包括种奶牛场1家）</w:t>
      </w:r>
      <w:r>
        <w:rPr>
          <w:rFonts w:ascii="Times New Roman" w:hAnsi="Times New Roman" w:cs="Times New Roman"/>
          <w:color w:val="auto"/>
          <w:sz w:val="32"/>
          <w:szCs w:val="32"/>
        </w:rPr>
        <w:t>，肉牛养殖场</w:t>
      </w:r>
      <w:r>
        <w:rPr>
          <w:rFonts w:hint="eastAsia" w:ascii="Times New Roman" w:hAnsi="Times New Roman" w:cs="Times New Roman"/>
          <w:color w:val="auto"/>
          <w:sz w:val="32"/>
          <w:szCs w:val="32"/>
        </w:rPr>
        <w:t>4家（包括种肉牛场1家）</w:t>
      </w:r>
      <w:r>
        <w:rPr>
          <w:rFonts w:ascii="Times New Roman" w:hAnsi="Times New Roman" w:cs="Times New Roman"/>
          <w:color w:val="auto"/>
          <w:sz w:val="32"/>
          <w:szCs w:val="32"/>
        </w:rPr>
        <w:t>，肉鸡养殖场7</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，蛋鸡养殖场15</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，肉鸭养殖场2</w:t>
      </w:r>
      <w:r>
        <w:rPr>
          <w:rFonts w:hint="eastAsia" w:ascii="Times New Roman" w:hAnsi="Times New Roman" w:cs="Times New Roman"/>
          <w:color w:val="auto"/>
          <w:sz w:val="32"/>
          <w:szCs w:val="32"/>
        </w:rPr>
        <w:t>家</w:t>
      </w:r>
      <w:r>
        <w:rPr>
          <w:rFonts w:ascii="Times New Roman" w:hAnsi="Times New Roman" w:cs="Times New Roman"/>
          <w:color w:val="auto"/>
          <w:sz w:val="32"/>
          <w:szCs w:val="32"/>
        </w:rPr>
        <w:t>。</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畜禽养殖专业户242户，</w:t>
      </w:r>
      <w:r>
        <w:rPr>
          <w:rFonts w:ascii="Times New Roman" w:hAnsi="Times New Roman" w:cs="Times New Roman"/>
          <w:color w:val="auto"/>
          <w:sz w:val="32"/>
          <w:szCs w:val="32"/>
        </w:rPr>
        <w:t>其中生猪</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85户，肉牛</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数量17户，山羊</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10户，蛋鸡</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数量93户，肉鸡</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16户，肉鸭</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20户，蛋鹅</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1户</w:t>
      </w:r>
      <w:r>
        <w:rPr>
          <w:rFonts w:hint="eastAsia" w:ascii="Times New Roman" w:hAnsi="Times New Roman" w:cs="Times New Roman"/>
          <w:color w:val="auto"/>
          <w:sz w:val="32"/>
          <w:szCs w:val="32"/>
        </w:rPr>
        <w:t>。</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各畜禽种类规模化养殖场与专业户养殖情况分别见表2.4-1与2.4-2。由表可知：</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①归德街道和张夏街道畜禽规模化养殖场数量较多，分别为10家和8家，累计占比达到34.61%；张夏街道、万德街道、归德街道畜禽养殖专业户数量较多，分别为65户、53户和41户，累计占比达到65.70%；</w:t>
      </w:r>
    </w:p>
    <w:p>
      <w:pPr>
        <w:widowControl w:val="0"/>
        <w:spacing w:line="580" w:lineRule="exact"/>
        <w:ind w:firstLine="640"/>
        <w:jc w:val="both"/>
        <w:rPr>
          <w:rFonts w:hint="eastAsia" w:ascii="Times New Roman" w:hAnsi="Times New Roman" w:cs="Times New Roman"/>
          <w:color w:val="auto"/>
          <w:sz w:val="32"/>
          <w:szCs w:val="32"/>
        </w:rPr>
      </w:pPr>
      <w:r>
        <w:rPr>
          <w:rFonts w:hint="eastAsia" w:ascii="Times New Roman" w:hAnsi="Times New Roman" w:cs="Times New Roman"/>
          <w:color w:val="auto"/>
          <w:sz w:val="32"/>
          <w:szCs w:val="32"/>
        </w:rPr>
        <w:t>②按畜禽种类来分，生猪、蛋鸡、肉鸡规模养殖场数量较多，分别为18家、15家和7家，累计占比达到76.92%；蛋鸡、生猪、肉鸭养殖专业户数量较多，分别为93户、85户和20户，累计占比达到81.82%。</w:t>
      </w:r>
    </w:p>
    <w:p>
      <w:pPr>
        <w:pStyle w:val="2"/>
      </w:pPr>
    </w:p>
    <w:p>
      <w:pPr>
        <w:spacing w:beforeLines="50" w:line="240" w:lineRule="auto"/>
        <w:ind w:firstLine="0" w:firstLineChars="0"/>
        <w:jc w:val="center"/>
        <w:rPr>
          <w:rFonts w:hint="eastAsia" w:ascii="Times New Roman" w:hAnsi="Times New Roman" w:cs="Times New Roman"/>
          <w:b/>
          <w:color w:val="auto"/>
          <w:sz w:val="24"/>
        </w:rPr>
      </w:pPr>
    </w:p>
    <w:p>
      <w:pPr>
        <w:spacing w:beforeLines="50" w:line="240" w:lineRule="auto"/>
        <w:ind w:firstLine="0" w:firstLineChars="0"/>
        <w:jc w:val="center"/>
        <w:rPr>
          <w:rFonts w:hint="eastAsia" w:ascii="Times New Roman" w:hAnsi="Times New Roman" w:cs="Times New Roman"/>
          <w:b/>
          <w:color w:val="auto"/>
          <w:sz w:val="24"/>
        </w:rPr>
      </w:pPr>
    </w:p>
    <w:p>
      <w:pPr>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表2.4-1</w:t>
      </w:r>
      <w:r>
        <w:rPr>
          <w:rFonts w:hint="eastAsia" w:ascii="Times New Roman" w:hAnsi="Times New Roman" w:cs="Times New Roman"/>
          <w:b/>
          <w:color w:val="auto"/>
          <w:sz w:val="24"/>
        </w:rPr>
        <w:t xml:space="preserve">  2021年</w:t>
      </w:r>
      <w:r>
        <w:rPr>
          <w:rFonts w:ascii="Times New Roman" w:hAnsi="Times New Roman" w:cs="Times New Roman"/>
          <w:b/>
          <w:color w:val="auto"/>
          <w:sz w:val="24"/>
        </w:rPr>
        <w:t>长清区各</w:t>
      </w:r>
      <w:r>
        <w:rPr>
          <w:rFonts w:hint="eastAsia" w:ascii="Times New Roman" w:hAnsi="Times New Roman" w:cs="Times New Roman"/>
          <w:b/>
          <w:color w:val="auto"/>
          <w:sz w:val="24"/>
        </w:rPr>
        <w:t>镇街</w:t>
      </w:r>
      <w:r>
        <w:rPr>
          <w:rFonts w:ascii="Times New Roman" w:hAnsi="Times New Roman" w:cs="Times New Roman"/>
          <w:b/>
          <w:color w:val="auto"/>
          <w:sz w:val="24"/>
        </w:rPr>
        <w:t>畜禽规模养殖场养殖类型统计表（单位：</w:t>
      </w:r>
      <w:r>
        <w:rPr>
          <w:rFonts w:hint="eastAsia" w:ascii="Times New Roman" w:hAnsi="Times New Roman" w:cs="Times New Roman"/>
          <w:b/>
          <w:color w:val="auto"/>
          <w:sz w:val="24"/>
        </w:rPr>
        <w:t>家</w:t>
      </w:r>
      <w:r>
        <w:rPr>
          <w:rFonts w:ascii="Times New Roman" w:hAnsi="Times New Roman" w:cs="Times New Roman"/>
          <w:b/>
          <w:color w:val="auto"/>
          <w:sz w:val="24"/>
        </w:rPr>
        <w:t>）</w:t>
      </w:r>
    </w:p>
    <w:tbl>
      <w:tblPr>
        <w:tblStyle w:val="30"/>
        <w:tblpPr w:leftFromText="180" w:rightFromText="180" w:vertAnchor="text" w:tblpXSpec="center" w:tblpY="1"/>
        <w:tblOverlap w:val="never"/>
        <w:tblW w:w="93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985"/>
        <w:gridCol w:w="985"/>
        <w:gridCol w:w="985"/>
        <w:gridCol w:w="985"/>
        <w:gridCol w:w="985"/>
        <w:gridCol w:w="985"/>
        <w:gridCol w:w="991"/>
        <w:gridCol w:w="1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hint="eastAsia" w:ascii="Times New Roman" w:hAnsi="Times New Roman" w:cs="Times New Roman"/>
                <w:b/>
                <w:color w:val="auto"/>
                <w:kern w:val="0"/>
                <w:sz w:val="21"/>
                <w:szCs w:val="21"/>
              </w:rPr>
              <w:t>镇街</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蛋鸡</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奶牛</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肉鸡</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肉牛</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肉鸭</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生猪</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总计</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hint="eastAsia" w:ascii="Times New Roman" w:hAnsi="Times New Roman" w:cs="Times New Roman"/>
                <w:b/>
                <w:color w:val="auto"/>
                <w:kern w:val="0"/>
                <w:sz w:val="21"/>
                <w:szCs w:val="21"/>
              </w:rPr>
              <w:t>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文昌街道</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归德街道</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平安街道</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张夏街道</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马山镇</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孝里街道</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万德街道</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五峰山街道</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双泉镇</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ascii="Times New Roman" w:hAnsi="Times New Roman" w:cs="Times New Roman"/>
                <w:b/>
                <w:color w:val="auto"/>
                <w:kern w:val="0"/>
                <w:sz w:val="21"/>
                <w:szCs w:val="21"/>
              </w:rPr>
              <w:t>总计</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r>
              <w:rPr>
                <w:rFonts w:hint="eastAsia" w:ascii="Times New Roman" w:hAnsi="Times New Roman" w:cs="Times New Roman"/>
                <w:color w:val="auto"/>
                <w:kern w:val="0"/>
                <w:sz w:val="21"/>
                <w:szCs w:val="21"/>
              </w:rPr>
              <w:t>8</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color w:val="auto"/>
                <w:kern w:val="0"/>
                <w:sz w:val="21"/>
                <w:szCs w:val="21"/>
              </w:rPr>
            </w:pPr>
            <w:r>
              <w:rPr>
                <w:rFonts w:hint="eastAsia" w:ascii="Times New Roman" w:hAnsi="Times New Roman" w:cs="Times New Roman"/>
                <w:b/>
                <w:color w:val="auto"/>
                <w:kern w:val="0"/>
                <w:sz w:val="21"/>
                <w:szCs w:val="21"/>
              </w:rPr>
              <w:t>占比（%）</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28.85</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11.54</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13.45</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7.69</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3.85</w:t>
            </w:r>
          </w:p>
        </w:tc>
        <w:tc>
          <w:tcPr>
            <w:tcW w:w="9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34.62</w:t>
            </w:r>
          </w:p>
        </w:tc>
        <w:tc>
          <w:tcPr>
            <w:tcW w:w="9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w:t>
            </w:r>
          </w:p>
        </w:tc>
        <w:tc>
          <w:tcPr>
            <w:tcW w:w="108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r>
    </w:tbl>
    <w:p>
      <w:pPr>
        <w:adjustRightInd/>
        <w:spacing w:beforeLines="50" w:line="240" w:lineRule="auto"/>
        <w:ind w:firstLine="0" w:firstLineChars="0"/>
        <w:jc w:val="center"/>
        <w:rPr>
          <w:rFonts w:ascii="Times New Roman" w:hAnsi="Times New Roman" w:cs="Times New Roman"/>
          <w:b/>
          <w:color w:val="auto"/>
          <w:sz w:val="24"/>
        </w:rPr>
      </w:pPr>
    </w:p>
    <w:p>
      <w:pPr>
        <w:adjustRightInd/>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表2.4-2</w:t>
      </w:r>
      <w:r>
        <w:rPr>
          <w:rFonts w:hint="eastAsia" w:ascii="Times New Roman" w:hAnsi="Times New Roman" w:cs="Times New Roman"/>
          <w:b/>
          <w:color w:val="auto"/>
          <w:sz w:val="24"/>
        </w:rPr>
        <w:t xml:space="preserve">  2021年</w:t>
      </w:r>
      <w:r>
        <w:rPr>
          <w:rFonts w:ascii="Times New Roman" w:hAnsi="Times New Roman" w:cs="Times New Roman"/>
          <w:b/>
          <w:color w:val="auto"/>
          <w:sz w:val="24"/>
        </w:rPr>
        <w:t>长清区各</w:t>
      </w:r>
      <w:r>
        <w:rPr>
          <w:rFonts w:hint="eastAsia" w:ascii="Times New Roman" w:hAnsi="Times New Roman" w:cs="Times New Roman"/>
          <w:b/>
          <w:color w:val="auto"/>
          <w:sz w:val="24"/>
        </w:rPr>
        <w:t>镇街</w:t>
      </w:r>
      <w:r>
        <w:rPr>
          <w:rFonts w:ascii="Times New Roman" w:hAnsi="Times New Roman" w:cs="Times New Roman"/>
          <w:b/>
          <w:color w:val="auto"/>
          <w:sz w:val="24"/>
        </w:rPr>
        <w:t>畜禽</w:t>
      </w:r>
      <w:r>
        <w:rPr>
          <w:rFonts w:hint="eastAsia" w:ascii="Times New Roman" w:hAnsi="Times New Roman" w:cs="Times New Roman"/>
          <w:b/>
          <w:color w:val="auto"/>
          <w:sz w:val="24"/>
        </w:rPr>
        <w:t>养殖专业户</w:t>
      </w:r>
      <w:r>
        <w:rPr>
          <w:rFonts w:ascii="Times New Roman" w:hAnsi="Times New Roman" w:cs="Times New Roman"/>
          <w:b/>
          <w:color w:val="auto"/>
          <w:sz w:val="24"/>
        </w:rPr>
        <w:t>养殖类型统计表（单位：户）</w:t>
      </w:r>
    </w:p>
    <w:tbl>
      <w:tblPr>
        <w:tblStyle w:val="30"/>
        <w:tblpPr w:leftFromText="180" w:rightFromText="180" w:vertAnchor="text" w:tblpXSpec="center" w:tblpY="1"/>
        <w:tblOverlap w:val="never"/>
        <w:tblW w:w="91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799"/>
        <w:gridCol w:w="764"/>
        <w:gridCol w:w="753"/>
        <w:gridCol w:w="880"/>
        <w:gridCol w:w="923"/>
        <w:gridCol w:w="710"/>
        <w:gridCol w:w="747"/>
        <w:gridCol w:w="1028"/>
        <w:gridCol w:w="11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蛋鸡</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肉鸡</w:t>
            </w: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肉牛</w:t>
            </w: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肉鸭</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山羊</w:t>
            </w: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生猪</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蛋鹅</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总计</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w:t>
            </w: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w:t>
            </w: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w:t>
            </w: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65</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799"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64"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53" w:type="dxa"/>
            <w:tcBorders>
              <w:tl2br w:val="nil"/>
              <w:tr2bl w:val="nil"/>
            </w:tcBorders>
            <w:vAlign w:val="center"/>
          </w:tcPr>
          <w:p>
            <w:pPr>
              <w:adjustRightInd/>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880"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23"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p>
        </w:tc>
        <w:tc>
          <w:tcPr>
            <w:tcW w:w="710" w:type="dxa"/>
            <w:tcBorders>
              <w:tl2br w:val="nil"/>
              <w:tr2bl w:val="nil"/>
            </w:tcBorders>
            <w:vAlign w:val="center"/>
          </w:tcPr>
          <w:p>
            <w:pPr>
              <w:adjustRightInd/>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w:t>
            </w:r>
          </w:p>
        </w:tc>
        <w:tc>
          <w:tcPr>
            <w:tcW w:w="747"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28" w:type="dxa"/>
            <w:tcBorders>
              <w:tl2br w:val="nil"/>
              <w:tr2bl w:val="nil"/>
            </w:tcBorders>
            <w:vAlign w:val="center"/>
          </w:tcPr>
          <w:p>
            <w:pPr>
              <w:adjustRightInd/>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34</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w:t>
            </w: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53</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799"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64"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53"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0" w:type="dxa"/>
            <w:tcBorders>
              <w:tl2br w:val="nil"/>
              <w:tr2bl w:val="nil"/>
            </w:tcBorders>
            <w:vAlign w:val="center"/>
          </w:tcPr>
          <w:p>
            <w:pPr>
              <w:adjustRightInd/>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923"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10" w:type="dxa"/>
            <w:tcBorders>
              <w:tl2br w:val="nil"/>
              <w:tr2bl w:val="nil"/>
            </w:tcBorders>
            <w:vAlign w:val="center"/>
          </w:tcPr>
          <w:p>
            <w:pPr>
              <w:adjustRightInd/>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w:t>
            </w:r>
          </w:p>
        </w:tc>
        <w:tc>
          <w:tcPr>
            <w:tcW w:w="747"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28" w:type="dxa"/>
            <w:tcBorders>
              <w:tl2br w:val="nil"/>
              <w:tr2bl w:val="nil"/>
            </w:tcBorders>
            <w:vAlign w:val="center"/>
          </w:tcPr>
          <w:p>
            <w:pPr>
              <w:adjustRightInd/>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w:t>
            </w: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c>
          <w:tcPr>
            <w:tcW w:w="799"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64"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53"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0" w:type="dxa"/>
            <w:tcBorders>
              <w:tl2br w:val="nil"/>
              <w:tr2bl w:val="nil"/>
            </w:tcBorders>
            <w:vAlign w:val="center"/>
          </w:tcPr>
          <w:p>
            <w:pPr>
              <w:adjustRightInd/>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w:t>
            </w:r>
          </w:p>
        </w:tc>
        <w:tc>
          <w:tcPr>
            <w:tcW w:w="923"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10" w:type="dxa"/>
            <w:tcBorders>
              <w:tl2br w:val="nil"/>
              <w:tr2bl w:val="nil"/>
            </w:tcBorders>
            <w:vAlign w:val="center"/>
          </w:tcPr>
          <w:p>
            <w:pPr>
              <w:adjustRightInd/>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w:t>
            </w:r>
          </w:p>
        </w:tc>
        <w:tc>
          <w:tcPr>
            <w:tcW w:w="747"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28" w:type="dxa"/>
            <w:tcBorders>
              <w:tl2br w:val="nil"/>
              <w:tr2bl w:val="nil"/>
            </w:tcBorders>
            <w:vAlign w:val="center"/>
          </w:tcPr>
          <w:p>
            <w:pPr>
              <w:adjustRightInd/>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总计</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93</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w:t>
            </w: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w:t>
            </w: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w:t>
            </w: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85</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242</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占比（%）</w:t>
            </w:r>
          </w:p>
        </w:tc>
        <w:tc>
          <w:tcPr>
            <w:tcW w:w="79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38.44</w:t>
            </w:r>
          </w:p>
        </w:tc>
        <w:tc>
          <w:tcPr>
            <w:tcW w:w="7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6.61</w:t>
            </w:r>
          </w:p>
        </w:tc>
        <w:tc>
          <w:tcPr>
            <w:tcW w:w="75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7.02</w:t>
            </w:r>
          </w:p>
        </w:tc>
        <w:tc>
          <w:tcPr>
            <w:tcW w:w="8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8.27</w:t>
            </w:r>
          </w:p>
        </w:tc>
        <w:tc>
          <w:tcPr>
            <w:tcW w:w="92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4.13</w:t>
            </w:r>
          </w:p>
        </w:tc>
        <w:tc>
          <w:tcPr>
            <w:tcW w:w="7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35.12</w:t>
            </w:r>
          </w:p>
        </w:tc>
        <w:tc>
          <w:tcPr>
            <w:tcW w:w="74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0.41</w:t>
            </w:r>
          </w:p>
        </w:tc>
        <w:tc>
          <w:tcPr>
            <w:tcW w:w="102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w:t>
            </w:r>
          </w:p>
        </w:tc>
        <w:tc>
          <w:tcPr>
            <w:tcW w:w="11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r>
    </w:tbl>
    <w:p>
      <w:pPr>
        <w:pStyle w:val="5"/>
        <w:keepNext w:val="0"/>
        <w:keepLines w:val="0"/>
        <w:widowControl w:val="0"/>
        <w:spacing w:beforeLines="0" w:afterLines="0" w:line="570" w:lineRule="exact"/>
        <w:ind w:firstLine="643" w:firstLineChars="200"/>
        <w:jc w:val="both"/>
        <w:rPr>
          <w:color w:val="auto"/>
          <w:sz w:val="32"/>
          <w:szCs w:val="32"/>
        </w:rPr>
      </w:pPr>
      <w:r>
        <w:rPr>
          <w:color w:val="auto"/>
          <w:sz w:val="32"/>
          <w:szCs w:val="32"/>
        </w:rPr>
        <w:t>2.4.1.</w:t>
      </w:r>
      <w:r>
        <w:rPr>
          <w:rFonts w:hint="eastAsia"/>
          <w:color w:val="auto"/>
          <w:sz w:val="32"/>
          <w:szCs w:val="32"/>
        </w:rPr>
        <w:t>2</w:t>
      </w:r>
      <w:r>
        <w:rPr>
          <w:color w:val="auto"/>
          <w:sz w:val="32"/>
          <w:szCs w:val="32"/>
        </w:rPr>
        <w:t>长清区养殖规模及种类</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2021年，长清区各畜禽种类养殖量见表2.4-3。为方便统计，将各畜种养殖量全部换算为猪当量（猪当量：用于计算畜禽氮排泄量的度量单位，存栏1头生猪的年平均氮排泄量为1个猪当量。按存栏量折算：100头猪相当于15头奶牛、30头肉牛、250只羊、2500只家禽．其他畜种由地方自行设定折算系数），具体结果见表2.4-4。由表可知：</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①2021年全区养殖总量约27.22万头猪当量，其中畜禽规模养殖场和畜禽养殖专业户养殖总量分别为20.30万头和6.92万头猪当量，分别占全区养殖总量的74.57%和25.43%；</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②按畜种统计养殖总量（以猪当量计），2021年生猪养殖量最大，约12.44万头猪当量，占比45.68%；蛋鸡次之，约5.45万头猪当量，占比20.03%；</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③畜禽规模养殖场养殖量（以猪当量计），2021年生猪养殖量最大，约10.14万头猪当量，占比49.94%；奶牛次之，约4.14万头猪当量，占比20.41%；</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④畜禽养殖专业户养殖量（以猪当量计），2021年生猪养殖量最大，约2.30万头猪当量，占比33.19%；蛋鸡次之，约2.13万头猪当量，占比30.75%。</w:t>
      </w:r>
    </w:p>
    <w:p>
      <w:pPr>
        <w:adjustRightInd/>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表2.4-3</w:t>
      </w:r>
      <w:r>
        <w:rPr>
          <w:rFonts w:hint="eastAsia" w:ascii="Times New Roman" w:hAnsi="Times New Roman" w:cs="Times New Roman"/>
          <w:b/>
          <w:color w:val="auto"/>
          <w:sz w:val="24"/>
        </w:rPr>
        <w:t xml:space="preserve">  2021年</w:t>
      </w:r>
      <w:r>
        <w:rPr>
          <w:rFonts w:ascii="Times New Roman" w:hAnsi="Times New Roman" w:cs="Times New Roman"/>
          <w:b/>
          <w:color w:val="auto"/>
          <w:sz w:val="24"/>
        </w:rPr>
        <w:t>全区全年养殖信息表（存栏）（单位：头/羽/只）</w:t>
      </w:r>
    </w:p>
    <w:tbl>
      <w:tblPr>
        <w:tblStyle w:val="30"/>
        <w:tblpPr w:leftFromText="180" w:rightFromText="180" w:vertAnchor="text" w:tblpXSpec="center" w:tblpY="1"/>
        <w:tblOverlap w:val="never"/>
        <w:tblW w:w="86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2168"/>
        <w:gridCol w:w="2168"/>
        <w:gridCol w:w="2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畜禽种类</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养殖总量</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畜禽规模养殖场</w:t>
            </w:r>
          </w:p>
        </w:tc>
        <w:tc>
          <w:tcPr>
            <w:tcW w:w="216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养殖专业户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蛋鸡</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1363600</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831300</w:t>
            </w:r>
          </w:p>
        </w:tc>
        <w:tc>
          <w:tcPr>
            <w:tcW w:w="216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532300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奶牛</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6215</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6215</w:t>
            </w:r>
          </w:p>
        </w:tc>
        <w:tc>
          <w:tcPr>
            <w:tcW w:w="216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肉鸡</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666500</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522500</w:t>
            </w:r>
          </w:p>
        </w:tc>
        <w:tc>
          <w:tcPr>
            <w:tcW w:w="216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肉牛</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3595</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975</w:t>
            </w:r>
          </w:p>
        </w:tc>
        <w:tc>
          <w:tcPr>
            <w:tcW w:w="216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肉鸭</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306600</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70000</w:t>
            </w:r>
          </w:p>
        </w:tc>
        <w:tc>
          <w:tcPr>
            <w:tcW w:w="216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236600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山羊</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2440</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216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生猪</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124380</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101400</w:t>
            </w:r>
          </w:p>
        </w:tc>
        <w:tc>
          <w:tcPr>
            <w:tcW w:w="216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蛋鹅</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w:t>
            </w:r>
          </w:p>
        </w:tc>
        <w:tc>
          <w:tcPr>
            <w:tcW w:w="216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216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w:t>
            </w:r>
          </w:p>
        </w:tc>
      </w:tr>
    </w:tbl>
    <w:p>
      <w:pPr>
        <w:adjustRightInd/>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表2.4-4</w:t>
      </w:r>
      <w:r>
        <w:rPr>
          <w:rFonts w:hint="eastAsia" w:ascii="Times New Roman" w:hAnsi="Times New Roman" w:cs="Times New Roman"/>
          <w:b/>
          <w:color w:val="auto"/>
          <w:sz w:val="24"/>
        </w:rPr>
        <w:t xml:space="preserve">  2021年</w:t>
      </w:r>
      <w:r>
        <w:rPr>
          <w:rFonts w:ascii="Times New Roman" w:hAnsi="Times New Roman" w:cs="Times New Roman"/>
          <w:b/>
          <w:color w:val="auto"/>
          <w:sz w:val="24"/>
        </w:rPr>
        <w:t>全区全年养殖</w:t>
      </w:r>
      <w:r>
        <w:rPr>
          <w:rFonts w:hint="eastAsia" w:ascii="Times New Roman" w:hAnsi="Times New Roman" w:cs="Times New Roman"/>
          <w:b/>
          <w:color w:val="auto"/>
          <w:sz w:val="24"/>
        </w:rPr>
        <w:t>量</w:t>
      </w:r>
      <w:r>
        <w:rPr>
          <w:rFonts w:ascii="Times New Roman" w:hAnsi="Times New Roman" w:cs="Times New Roman"/>
          <w:b/>
          <w:color w:val="auto"/>
          <w:sz w:val="24"/>
        </w:rPr>
        <w:t>信息表（</w:t>
      </w:r>
      <w:r>
        <w:rPr>
          <w:rFonts w:hint="eastAsia" w:ascii="Times New Roman" w:hAnsi="Times New Roman" w:cs="Times New Roman"/>
          <w:b/>
          <w:color w:val="auto"/>
          <w:sz w:val="24"/>
        </w:rPr>
        <w:t>猪当量</w:t>
      </w:r>
      <w:r>
        <w:rPr>
          <w:rFonts w:ascii="Times New Roman" w:hAnsi="Times New Roman" w:cs="Times New Roman"/>
          <w:b/>
          <w:color w:val="auto"/>
          <w:sz w:val="24"/>
        </w:rPr>
        <w:t>）</w:t>
      </w:r>
    </w:p>
    <w:tbl>
      <w:tblPr>
        <w:tblStyle w:val="30"/>
        <w:tblpPr w:leftFromText="180" w:rightFromText="180" w:vertAnchor="text" w:tblpXSpec="center" w:tblpY="1"/>
        <w:tblOverlap w:val="never"/>
        <w:tblW w:w="86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337"/>
        <w:gridCol w:w="1093"/>
        <w:gridCol w:w="1375"/>
        <w:gridCol w:w="1091"/>
        <w:gridCol w:w="1554"/>
        <w:gridCol w:w="13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畜禽种类</w:t>
            </w:r>
          </w:p>
        </w:tc>
        <w:tc>
          <w:tcPr>
            <w:tcW w:w="2430"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养殖总量</w:t>
            </w:r>
          </w:p>
        </w:tc>
        <w:tc>
          <w:tcPr>
            <w:tcW w:w="2466"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畜禽规模养殖场</w:t>
            </w:r>
          </w:p>
        </w:tc>
        <w:tc>
          <w:tcPr>
            <w:tcW w:w="2935"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养殖专业户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91"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猪当量（头）</w:t>
            </w:r>
          </w:p>
        </w:tc>
        <w:tc>
          <w:tcPr>
            <w:tcW w:w="109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占比（%）</w:t>
            </w:r>
          </w:p>
        </w:tc>
        <w:tc>
          <w:tcPr>
            <w:tcW w:w="13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猪当量（头）</w:t>
            </w:r>
          </w:p>
        </w:tc>
        <w:tc>
          <w:tcPr>
            <w:tcW w:w="10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占比（%）</w:t>
            </w:r>
          </w:p>
        </w:tc>
        <w:tc>
          <w:tcPr>
            <w:tcW w:w="15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猪当量（头）</w:t>
            </w:r>
          </w:p>
        </w:tc>
        <w:tc>
          <w:tcPr>
            <w:tcW w:w="138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蛋鸡</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54544</w:t>
            </w:r>
          </w:p>
        </w:tc>
        <w:tc>
          <w:tcPr>
            <w:tcW w:w="109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20.03</w:t>
            </w:r>
          </w:p>
        </w:tc>
        <w:tc>
          <w:tcPr>
            <w:tcW w:w="13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33252</w:t>
            </w:r>
          </w:p>
        </w:tc>
        <w:tc>
          <w:tcPr>
            <w:tcW w:w="10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16.38</w:t>
            </w:r>
          </w:p>
        </w:tc>
        <w:tc>
          <w:tcPr>
            <w:tcW w:w="15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21292</w:t>
            </w:r>
          </w:p>
        </w:tc>
        <w:tc>
          <w:tcPr>
            <w:tcW w:w="138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奶牛</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41433</w:t>
            </w:r>
          </w:p>
        </w:tc>
        <w:tc>
          <w:tcPr>
            <w:tcW w:w="109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15.22</w:t>
            </w:r>
          </w:p>
        </w:tc>
        <w:tc>
          <w:tcPr>
            <w:tcW w:w="13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41433</w:t>
            </w:r>
          </w:p>
        </w:tc>
        <w:tc>
          <w:tcPr>
            <w:tcW w:w="10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20.41</w:t>
            </w:r>
          </w:p>
        </w:tc>
        <w:tc>
          <w:tcPr>
            <w:tcW w:w="15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8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肉鸡</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26660</w:t>
            </w:r>
          </w:p>
        </w:tc>
        <w:tc>
          <w:tcPr>
            <w:tcW w:w="109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9.79</w:t>
            </w:r>
          </w:p>
        </w:tc>
        <w:tc>
          <w:tcPr>
            <w:tcW w:w="13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20900</w:t>
            </w:r>
          </w:p>
        </w:tc>
        <w:tc>
          <w:tcPr>
            <w:tcW w:w="10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10.29</w:t>
            </w:r>
          </w:p>
        </w:tc>
        <w:tc>
          <w:tcPr>
            <w:tcW w:w="15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5760</w:t>
            </w:r>
          </w:p>
        </w:tc>
        <w:tc>
          <w:tcPr>
            <w:tcW w:w="138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肉牛</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11983</w:t>
            </w:r>
          </w:p>
        </w:tc>
        <w:tc>
          <w:tcPr>
            <w:tcW w:w="109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4.40</w:t>
            </w:r>
          </w:p>
        </w:tc>
        <w:tc>
          <w:tcPr>
            <w:tcW w:w="13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3250</w:t>
            </w:r>
          </w:p>
        </w:tc>
        <w:tc>
          <w:tcPr>
            <w:tcW w:w="10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1.60</w:t>
            </w:r>
          </w:p>
        </w:tc>
        <w:tc>
          <w:tcPr>
            <w:tcW w:w="15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8733</w:t>
            </w:r>
          </w:p>
        </w:tc>
        <w:tc>
          <w:tcPr>
            <w:tcW w:w="138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肉鸭</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12264</w:t>
            </w:r>
          </w:p>
        </w:tc>
        <w:tc>
          <w:tcPr>
            <w:tcW w:w="109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4.50</w:t>
            </w:r>
          </w:p>
        </w:tc>
        <w:tc>
          <w:tcPr>
            <w:tcW w:w="13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2800</w:t>
            </w:r>
          </w:p>
        </w:tc>
        <w:tc>
          <w:tcPr>
            <w:tcW w:w="10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1.38</w:t>
            </w:r>
          </w:p>
        </w:tc>
        <w:tc>
          <w:tcPr>
            <w:tcW w:w="15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9464</w:t>
            </w:r>
          </w:p>
        </w:tc>
        <w:tc>
          <w:tcPr>
            <w:tcW w:w="138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山羊</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976</w:t>
            </w:r>
          </w:p>
        </w:tc>
        <w:tc>
          <w:tcPr>
            <w:tcW w:w="109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0.36</w:t>
            </w:r>
          </w:p>
        </w:tc>
        <w:tc>
          <w:tcPr>
            <w:tcW w:w="13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5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976</w:t>
            </w:r>
          </w:p>
        </w:tc>
        <w:tc>
          <w:tcPr>
            <w:tcW w:w="138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生猪</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124380</w:t>
            </w:r>
          </w:p>
        </w:tc>
        <w:tc>
          <w:tcPr>
            <w:tcW w:w="109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45.69</w:t>
            </w:r>
          </w:p>
        </w:tc>
        <w:tc>
          <w:tcPr>
            <w:tcW w:w="13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101400</w:t>
            </w:r>
          </w:p>
        </w:tc>
        <w:tc>
          <w:tcPr>
            <w:tcW w:w="10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49.94</w:t>
            </w:r>
          </w:p>
        </w:tc>
        <w:tc>
          <w:tcPr>
            <w:tcW w:w="15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22980</w:t>
            </w:r>
          </w:p>
        </w:tc>
        <w:tc>
          <w:tcPr>
            <w:tcW w:w="138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蛋鹅</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w:t>
            </w:r>
          </w:p>
        </w:tc>
        <w:tc>
          <w:tcPr>
            <w:tcW w:w="109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0.01</w:t>
            </w:r>
          </w:p>
        </w:tc>
        <w:tc>
          <w:tcPr>
            <w:tcW w:w="13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5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w:t>
            </w:r>
          </w:p>
        </w:tc>
        <w:tc>
          <w:tcPr>
            <w:tcW w:w="138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0.06</w:t>
            </w:r>
          </w:p>
        </w:tc>
      </w:tr>
    </w:tbl>
    <w:p>
      <w:pPr>
        <w:widowControl w:val="0"/>
        <w:adjustRightInd/>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为了摸清各镇街畜禽养殖类型及数量，按照镇街分畜种汇总统计其养殖量（以猪当量计），2021年各镇街规模畜禽养殖场和畜禽养殖专业户养殖量分别见表2.4-5和表2.4-6。由表可知：</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①畜禽规模养殖场养殖量按照猪当量计，排名前三的分别为归德街道、马山镇和文昌街道，养殖量和占比分别为5.97万头猪当量（占比29.40%）、4.27万头猪当量（占比21.02%）、2.54万头猪当量（占比12.50%），累计占比61.92%；</w:t>
      </w:r>
    </w:p>
    <w:p>
      <w:pPr>
        <w:pStyle w:val="9"/>
        <w:widowControl w:val="0"/>
        <w:spacing w:after="0"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②畜禽养殖专业户养殖量按照猪当量计，排名前三的分别为万德街道、归德街道和张夏街道，养殖量和占比分别为1.48万头猪当量（占比21.43%）、1.33万头猪当量（占比19.19%）、1.29万头猪当量（占比18.61%），累计占比59.23%。</w:t>
      </w:r>
    </w:p>
    <w:p>
      <w:pPr>
        <w:pStyle w:val="10"/>
        <w:ind w:firstLine="560"/>
        <w:rPr>
          <w:rFonts w:ascii="Times New Roman" w:hAnsi="Times New Roman" w:cs="Times New Roman"/>
          <w:color w:val="auto"/>
          <w:szCs w:val="22"/>
        </w:rPr>
      </w:pPr>
    </w:p>
    <w:p>
      <w:pPr>
        <w:pStyle w:val="11"/>
        <w:ind w:firstLine="640"/>
        <w:rPr>
          <w:color w:val="auto"/>
        </w:rPr>
      </w:pPr>
    </w:p>
    <w:p>
      <w:pPr>
        <w:adjustRightInd/>
        <w:spacing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表2.4-5</w:t>
      </w:r>
      <w:r>
        <w:rPr>
          <w:rFonts w:hint="eastAsia" w:ascii="Times New Roman" w:hAnsi="Times New Roman" w:cs="Times New Roman"/>
          <w:b/>
          <w:color w:val="auto"/>
          <w:sz w:val="24"/>
        </w:rPr>
        <w:t xml:space="preserve">  2021年规模化</w:t>
      </w:r>
      <w:r>
        <w:rPr>
          <w:rFonts w:ascii="Times New Roman" w:hAnsi="Times New Roman" w:cs="Times New Roman"/>
          <w:b/>
          <w:color w:val="auto"/>
          <w:sz w:val="24"/>
        </w:rPr>
        <w:t>养殖</w:t>
      </w:r>
      <w:r>
        <w:rPr>
          <w:rFonts w:hint="eastAsia" w:ascii="Times New Roman" w:hAnsi="Times New Roman" w:cs="Times New Roman"/>
          <w:b/>
          <w:color w:val="auto"/>
          <w:sz w:val="24"/>
        </w:rPr>
        <w:t>场</w:t>
      </w:r>
      <w:r>
        <w:rPr>
          <w:rFonts w:ascii="Times New Roman" w:hAnsi="Times New Roman" w:cs="Times New Roman"/>
          <w:b/>
          <w:color w:val="auto"/>
          <w:sz w:val="24"/>
        </w:rPr>
        <w:t>养殖信息表（</w:t>
      </w:r>
      <w:r>
        <w:rPr>
          <w:rFonts w:hint="eastAsia" w:ascii="Times New Roman" w:hAnsi="Times New Roman" w:cs="Times New Roman"/>
          <w:b/>
          <w:color w:val="auto"/>
          <w:sz w:val="24"/>
        </w:rPr>
        <w:t>猪当量</w:t>
      </w:r>
      <w:r>
        <w:rPr>
          <w:rFonts w:ascii="Times New Roman" w:hAnsi="Times New Roman" w:cs="Times New Roman"/>
          <w:b/>
          <w:color w:val="auto"/>
          <w:sz w:val="24"/>
        </w:rPr>
        <w:t>）（单位：头）</w:t>
      </w:r>
    </w:p>
    <w:tbl>
      <w:tblPr>
        <w:tblStyle w:val="30"/>
        <w:tblpPr w:leftFromText="180" w:rightFromText="180" w:vertAnchor="text" w:tblpXSpec="center" w:tblpY="1"/>
        <w:tblOverlap w:val="never"/>
        <w:tblW w:w="98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042"/>
        <w:gridCol w:w="1042"/>
        <w:gridCol w:w="1042"/>
        <w:gridCol w:w="1042"/>
        <w:gridCol w:w="1042"/>
        <w:gridCol w:w="1042"/>
        <w:gridCol w:w="1042"/>
        <w:gridCol w:w="10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6252" w:type="dxa"/>
            <w:gridSpan w:val="6"/>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养殖量</w:t>
            </w:r>
          </w:p>
        </w:tc>
        <w:tc>
          <w:tcPr>
            <w:tcW w:w="1042"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合计</w:t>
            </w:r>
          </w:p>
        </w:tc>
        <w:tc>
          <w:tcPr>
            <w:tcW w:w="1042"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蛋鸡</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奶牛</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肉鸡</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肉牛</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肉鸭</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生猪</w:t>
            </w:r>
          </w:p>
        </w:tc>
        <w:tc>
          <w:tcPr>
            <w:tcW w:w="104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04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文昌街道</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5120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1250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25370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归德街道</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4020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8166</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45500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59687</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平安街道</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2640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22840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张夏街道</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3267</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6500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11567</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马山镇</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10872</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31400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42671</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孝里街道</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6800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12400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24200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万德街道</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7100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11100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五峰山街道</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双泉镇</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合计</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33252</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41433</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20900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3250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101400</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203035</w:t>
            </w:r>
          </w:p>
        </w:tc>
        <w:tc>
          <w:tcPr>
            <w:tcW w:w="104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100.00</w:t>
            </w:r>
          </w:p>
        </w:tc>
      </w:tr>
    </w:tbl>
    <w:p>
      <w:pPr>
        <w:adjustRightInd/>
        <w:spacing w:line="240" w:lineRule="auto"/>
        <w:ind w:firstLine="0" w:firstLineChars="0"/>
        <w:jc w:val="center"/>
        <w:rPr>
          <w:rFonts w:ascii="Times New Roman" w:hAnsi="Times New Roman" w:cs="Times New Roman"/>
          <w:b/>
          <w:color w:val="auto"/>
          <w:sz w:val="24"/>
        </w:rPr>
      </w:pPr>
    </w:p>
    <w:p>
      <w:pPr>
        <w:adjustRightInd/>
        <w:spacing w:line="240" w:lineRule="auto"/>
        <w:ind w:firstLine="0" w:firstLineChars="0"/>
        <w:jc w:val="center"/>
        <w:rPr>
          <w:rFonts w:ascii="Times New Roman" w:hAnsi="Times New Roman" w:cs="Times New Roman"/>
          <w:b/>
          <w:color w:val="auto"/>
          <w:sz w:val="24"/>
        </w:rPr>
      </w:pPr>
    </w:p>
    <w:p>
      <w:pPr>
        <w:adjustRightInd/>
        <w:spacing w:line="240" w:lineRule="auto"/>
        <w:ind w:firstLine="0" w:firstLineChars="0"/>
        <w:jc w:val="center"/>
        <w:rPr>
          <w:rFonts w:ascii="Times New Roman" w:hAnsi="Times New Roman" w:cs="Times New Roman"/>
          <w:b/>
          <w:color w:val="auto"/>
          <w:sz w:val="24"/>
        </w:rPr>
      </w:pPr>
    </w:p>
    <w:p>
      <w:pPr>
        <w:adjustRightInd/>
        <w:spacing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表2.4-</w:t>
      </w:r>
      <w:r>
        <w:rPr>
          <w:rFonts w:hint="eastAsia" w:ascii="Times New Roman" w:hAnsi="Times New Roman" w:cs="Times New Roman"/>
          <w:b/>
          <w:color w:val="auto"/>
          <w:sz w:val="24"/>
        </w:rPr>
        <w:t>6  2021年</w:t>
      </w:r>
      <w:r>
        <w:rPr>
          <w:rFonts w:ascii="Times New Roman" w:hAnsi="Times New Roman" w:cs="Times New Roman"/>
          <w:b/>
          <w:color w:val="auto"/>
          <w:sz w:val="24"/>
        </w:rPr>
        <w:t>养殖</w:t>
      </w:r>
      <w:r>
        <w:rPr>
          <w:rFonts w:hint="eastAsia" w:ascii="Times New Roman" w:hAnsi="Times New Roman" w:cs="Times New Roman"/>
          <w:b/>
          <w:color w:val="auto"/>
          <w:sz w:val="24"/>
        </w:rPr>
        <w:t>专业户</w:t>
      </w:r>
      <w:r>
        <w:rPr>
          <w:rFonts w:ascii="Times New Roman" w:hAnsi="Times New Roman" w:cs="Times New Roman"/>
          <w:b/>
          <w:color w:val="auto"/>
          <w:sz w:val="24"/>
        </w:rPr>
        <w:t>养殖信息表（</w:t>
      </w:r>
      <w:r>
        <w:rPr>
          <w:rFonts w:hint="eastAsia" w:ascii="Times New Roman" w:hAnsi="Times New Roman" w:cs="Times New Roman"/>
          <w:b/>
          <w:color w:val="auto"/>
          <w:sz w:val="24"/>
        </w:rPr>
        <w:t>猪当量</w:t>
      </w:r>
      <w:r>
        <w:rPr>
          <w:rFonts w:ascii="Times New Roman" w:hAnsi="Times New Roman" w:cs="Times New Roman"/>
          <w:b/>
          <w:color w:val="auto"/>
          <w:sz w:val="24"/>
        </w:rPr>
        <w:t>）（单位：头）</w:t>
      </w:r>
    </w:p>
    <w:tbl>
      <w:tblPr>
        <w:tblStyle w:val="30"/>
        <w:tblpPr w:leftFromText="180" w:rightFromText="180" w:vertAnchor="text" w:tblpXSpec="center" w:tblpY="1"/>
        <w:tblOverlap w:val="never"/>
        <w:tblW w:w="98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954"/>
        <w:gridCol w:w="954"/>
        <w:gridCol w:w="954"/>
        <w:gridCol w:w="954"/>
        <w:gridCol w:w="954"/>
        <w:gridCol w:w="954"/>
        <w:gridCol w:w="954"/>
        <w:gridCol w:w="954"/>
        <w:gridCol w:w="9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6678" w:type="dxa"/>
            <w:gridSpan w:val="7"/>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养殖量</w:t>
            </w:r>
          </w:p>
        </w:tc>
        <w:tc>
          <w:tcPr>
            <w:tcW w:w="954"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合计</w:t>
            </w:r>
          </w:p>
        </w:tc>
        <w:tc>
          <w:tcPr>
            <w:tcW w:w="956"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蛋鸡</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肉鸡</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肉牛</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肉鸭</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山羊</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生猪</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蛋鹅</w:t>
            </w:r>
          </w:p>
        </w:tc>
        <w:tc>
          <w:tcPr>
            <w:tcW w:w="954"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95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文昌街道</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1433</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4473</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归德街道</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4232</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2333</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6720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13285</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平安街道</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940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1750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4610</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张夏街道</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5536</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4480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188</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980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12884</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马山镇</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2100</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孝里街道</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952</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1333</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96</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3620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6001</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万德街道</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9032</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1280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1924</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14836</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五峰山街道</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1860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5060</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双泉镇</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333</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332</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1200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2305</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崮云湖街道</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2640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1050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3690</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合计</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21292</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5760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8732</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9464</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976</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22980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w:t>
            </w:r>
          </w:p>
        </w:tc>
        <w:tc>
          <w:tcPr>
            <w:tcW w:w="9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69244</w:t>
            </w:r>
          </w:p>
        </w:tc>
        <w:tc>
          <w:tcPr>
            <w:tcW w:w="95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100.00</w:t>
            </w:r>
          </w:p>
        </w:tc>
      </w:tr>
    </w:tbl>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2.4.1.</w:t>
      </w:r>
      <w:r>
        <w:rPr>
          <w:rFonts w:hint="eastAsia"/>
          <w:color w:val="auto"/>
          <w:sz w:val="32"/>
          <w:szCs w:val="32"/>
        </w:rPr>
        <w:t>3畜禽规模化养殖比重</w:t>
      </w:r>
    </w:p>
    <w:p>
      <w:pPr>
        <w:widowControl w:val="0"/>
        <w:spacing w:line="580" w:lineRule="exact"/>
        <w:ind w:firstLine="640"/>
        <w:jc w:val="both"/>
        <w:rPr>
          <w:color w:val="auto"/>
          <w:sz w:val="32"/>
          <w:szCs w:val="32"/>
        </w:rPr>
      </w:pPr>
      <w:r>
        <w:rPr>
          <w:rFonts w:hint="eastAsia"/>
          <w:color w:val="auto"/>
          <w:sz w:val="32"/>
          <w:szCs w:val="32"/>
        </w:rPr>
        <w:t>根据《农业农村部办公厅关于开展第二批国家农业绿色发展先行区评估确定工作的通知》（农办规</w:t>
      </w:r>
      <w:r>
        <w:rPr>
          <w:rFonts w:hint="eastAsia" w:ascii="Times New Roman" w:hAnsi="Times New Roman" w:cs="Times New Roman"/>
          <w:color w:val="auto"/>
          <w:sz w:val="32"/>
          <w:szCs w:val="32"/>
        </w:rPr>
        <w:t>〔2019〕12</w:t>
      </w:r>
      <w:r>
        <w:rPr>
          <w:rFonts w:hint="eastAsia"/>
          <w:color w:val="auto"/>
          <w:sz w:val="32"/>
          <w:szCs w:val="32"/>
        </w:rPr>
        <w:t>号）附件中国家农业绿色发展先行区评估确定指标体系关于畜禽养殖规模化比重的计算方法，</w:t>
      </w:r>
      <w:r>
        <w:rPr>
          <w:rFonts w:ascii="Times New Roman" w:hAnsi="Times New Roman" w:cs="Times New Roman"/>
          <w:color w:val="auto"/>
          <w:sz w:val="32"/>
          <w:szCs w:val="32"/>
        </w:rPr>
        <w:t>计算公式如下</w:t>
      </w:r>
      <w:r>
        <w:rPr>
          <w:rFonts w:hint="eastAsia"/>
          <w:color w:val="auto"/>
          <w:sz w:val="32"/>
          <w:szCs w:val="32"/>
        </w:rPr>
        <w:t>：</w:t>
      </w:r>
    </w:p>
    <w:p>
      <w:pPr>
        <w:pStyle w:val="9"/>
        <w:widowControl w:val="0"/>
        <w:spacing w:after="0"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某一类畜禽养殖规模化比重=（某一类畜禽年规模养殖量/该类畜禽年养殖总量）×（该类畜禽产品蛋白当量/各类畜禽产品蛋白当量总和）；某一类畜禽产品蛋白当量=该类畜禽对应的畜禽产品年产量①×其蛋白当量系数②；</w:t>
      </w:r>
    </w:p>
    <w:p>
      <w:pPr>
        <w:pStyle w:val="9"/>
        <w:widowControl w:val="0"/>
        <w:spacing w:after="0"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式中：</w:t>
      </w:r>
    </w:p>
    <w:p>
      <w:pPr>
        <w:pStyle w:val="9"/>
        <w:widowControl w:val="0"/>
        <w:spacing w:after="0"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①生猪、肉牛、奶牛、羊、肉禽、蛋禽对应的畜禽产品为猪肉、牛肉、牛奶、羊肉、禽肉、禽蛋。</w:t>
      </w:r>
    </w:p>
    <w:p>
      <w:pPr>
        <w:pStyle w:val="9"/>
        <w:widowControl w:val="0"/>
        <w:spacing w:after="0"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②各类畜禽产品的蛋白当量系数如下：猪肉=9%，牛肉=14.9%，羊肉=13.9%，鸡肉=11.8%，禽蛋=11.3%，牛奶=3%。</w:t>
      </w:r>
    </w:p>
    <w:p>
      <w:pPr>
        <w:pStyle w:val="9"/>
        <w:widowControl w:val="0"/>
        <w:spacing w:after="0" w:line="580" w:lineRule="exact"/>
        <w:ind w:firstLine="640"/>
        <w:jc w:val="both"/>
        <w:rPr>
          <w:color w:val="auto"/>
          <w:sz w:val="32"/>
          <w:szCs w:val="32"/>
        </w:rPr>
      </w:pPr>
      <w:r>
        <w:rPr>
          <w:rFonts w:hint="eastAsia"/>
          <w:color w:val="auto"/>
          <w:sz w:val="32"/>
          <w:szCs w:val="32"/>
        </w:rPr>
        <w:t>结合长清区各镇街各畜种养殖总量、畜禽规模养殖场养殖量，核算畜禽规模养殖比重，具体见表</w:t>
      </w:r>
      <w:r>
        <w:rPr>
          <w:rFonts w:hint="eastAsia" w:ascii="Times New Roman" w:hAnsi="Times New Roman" w:cs="Times New Roman"/>
          <w:color w:val="auto"/>
          <w:sz w:val="32"/>
          <w:szCs w:val="32"/>
        </w:rPr>
        <w:t>2.4-7。</w:t>
      </w:r>
      <w:r>
        <w:rPr>
          <w:rFonts w:hint="eastAsia"/>
          <w:color w:val="auto"/>
          <w:sz w:val="32"/>
          <w:szCs w:val="32"/>
        </w:rPr>
        <w:t>由表可知：</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①全区畜禽养殖规模化养殖比重为68.62%；</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②按照养殖畜种统计，规模养殖比重从高到低分别为蛋鸡（34.33%）、奶牛（17.52%）、肉鸡（8.37%）、生猪（6.67%）、肉牛（0.61%）、肉鸭（1.12%）、山羊（0%）和蛋鹅（0%）；</w:t>
      </w:r>
    </w:p>
    <w:p>
      <w:pPr>
        <w:adjustRightInd/>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表2.4-7</w:t>
      </w:r>
      <w:r>
        <w:rPr>
          <w:rFonts w:hint="eastAsia" w:ascii="Times New Roman" w:hAnsi="Times New Roman" w:cs="Times New Roman"/>
          <w:b/>
          <w:color w:val="auto"/>
          <w:sz w:val="24"/>
        </w:rPr>
        <w:t xml:space="preserve">  2021年</w:t>
      </w:r>
      <w:r>
        <w:rPr>
          <w:rFonts w:ascii="Times New Roman" w:hAnsi="Times New Roman" w:cs="Times New Roman"/>
          <w:b/>
          <w:color w:val="auto"/>
          <w:sz w:val="24"/>
        </w:rPr>
        <w:t>各畜</w:t>
      </w:r>
      <w:r>
        <w:rPr>
          <w:rFonts w:hint="eastAsia" w:ascii="Times New Roman" w:hAnsi="Times New Roman" w:cs="Times New Roman"/>
          <w:b/>
          <w:color w:val="auto"/>
          <w:sz w:val="24"/>
        </w:rPr>
        <w:t>种</w:t>
      </w:r>
      <w:r>
        <w:rPr>
          <w:rFonts w:ascii="Times New Roman" w:hAnsi="Times New Roman" w:cs="Times New Roman"/>
          <w:b/>
          <w:color w:val="auto"/>
          <w:sz w:val="24"/>
        </w:rPr>
        <w:t>养殖规模化程度情况表</w:t>
      </w:r>
    </w:p>
    <w:tbl>
      <w:tblPr>
        <w:tblStyle w:val="30"/>
        <w:tblW w:w="8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254"/>
        <w:gridCol w:w="1650"/>
        <w:gridCol w:w="1596"/>
        <w:gridCol w:w="1500"/>
        <w:gridCol w:w="13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畜禽类型</w:t>
            </w:r>
          </w:p>
        </w:tc>
        <w:tc>
          <w:tcPr>
            <w:tcW w:w="2904"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养殖总量</w:t>
            </w:r>
          </w:p>
        </w:tc>
        <w:tc>
          <w:tcPr>
            <w:tcW w:w="3096"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养殖场养殖量</w:t>
            </w:r>
          </w:p>
        </w:tc>
        <w:tc>
          <w:tcPr>
            <w:tcW w:w="1377"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规模化养殖率</w:t>
            </w:r>
            <w:r>
              <w:rPr>
                <w:rFonts w:hint="eastAsia" w:ascii="Times New Roman" w:hAnsi="Times New Roman" w:cs="Times New Roman"/>
                <w:b/>
                <w:bCs/>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2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养殖总量(头、羽、只）</w:t>
            </w:r>
          </w:p>
        </w:tc>
        <w:tc>
          <w:tcPr>
            <w:tcW w:w="16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总养殖蛋白量（kg）</w:t>
            </w:r>
          </w:p>
        </w:tc>
        <w:tc>
          <w:tcPr>
            <w:tcW w:w="159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养殖场养殖量(头、羽、只）</w:t>
            </w:r>
          </w:p>
        </w:tc>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养殖场蛋白量（kg）</w:t>
            </w:r>
          </w:p>
        </w:tc>
        <w:tc>
          <w:tcPr>
            <w:tcW w:w="1377"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蛋鸡</w:t>
            </w:r>
          </w:p>
        </w:tc>
        <w:tc>
          <w:tcPr>
            <w:tcW w:w="12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1363600</w:t>
            </w:r>
          </w:p>
        </w:tc>
        <w:tc>
          <w:tcPr>
            <w:tcW w:w="16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5393038</w:t>
            </w:r>
          </w:p>
        </w:tc>
        <w:tc>
          <w:tcPr>
            <w:tcW w:w="159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831300</w:t>
            </w:r>
          </w:p>
        </w:tc>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3287791.5</w:t>
            </w:r>
          </w:p>
        </w:tc>
        <w:tc>
          <w:tcPr>
            <w:tcW w:w="137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奶牛</w:t>
            </w:r>
          </w:p>
        </w:tc>
        <w:tc>
          <w:tcPr>
            <w:tcW w:w="12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6215</w:t>
            </w:r>
          </w:p>
        </w:tc>
        <w:tc>
          <w:tcPr>
            <w:tcW w:w="16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1678050</w:t>
            </w:r>
          </w:p>
        </w:tc>
        <w:tc>
          <w:tcPr>
            <w:tcW w:w="159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6215</w:t>
            </w:r>
          </w:p>
        </w:tc>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1678050</w:t>
            </w:r>
          </w:p>
        </w:tc>
        <w:tc>
          <w:tcPr>
            <w:tcW w:w="137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肉鸡</w:t>
            </w:r>
          </w:p>
        </w:tc>
        <w:tc>
          <w:tcPr>
            <w:tcW w:w="12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666500</w:t>
            </w:r>
          </w:p>
        </w:tc>
        <w:tc>
          <w:tcPr>
            <w:tcW w:w="16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1022411</w:t>
            </w:r>
          </w:p>
        </w:tc>
        <w:tc>
          <w:tcPr>
            <w:tcW w:w="159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522500</w:t>
            </w:r>
          </w:p>
        </w:tc>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801515</w:t>
            </w:r>
          </w:p>
        </w:tc>
        <w:tc>
          <w:tcPr>
            <w:tcW w:w="137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肉牛</w:t>
            </w:r>
          </w:p>
        </w:tc>
        <w:tc>
          <w:tcPr>
            <w:tcW w:w="12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3595</w:t>
            </w:r>
          </w:p>
        </w:tc>
        <w:tc>
          <w:tcPr>
            <w:tcW w:w="16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214262</w:t>
            </w:r>
          </w:p>
        </w:tc>
        <w:tc>
          <w:tcPr>
            <w:tcW w:w="159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975</w:t>
            </w:r>
          </w:p>
        </w:tc>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58110</w:t>
            </w:r>
          </w:p>
        </w:tc>
        <w:tc>
          <w:tcPr>
            <w:tcW w:w="137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肉鸭</w:t>
            </w:r>
          </w:p>
        </w:tc>
        <w:tc>
          <w:tcPr>
            <w:tcW w:w="12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306600</w:t>
            </w:r>
          </w:p>
        </w:tc>
        <w:tc>
          <w:tcPr>
            <w:tcW w:w="16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470324.4</w:t>
            </w:r>
          </w:p>
        </w:tc>
        <w:tc>
          <w:tcPr>
            <w:tcW w:w="159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70000</w:t>
            </w:r>
          </w:p>
        </w:tc>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107380</w:t>
            </w:r>
          </w:p>
        </w:tc>
        <w:tc>
          <w:tcPr>
            <w:tcW w:w="137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山羊</w:t>
            </w:r>
          </w:p>
        </w:tc>
        <w:tc>
          <w:tcPr>
            <w:tcW w:w="12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2440</w:t>
            </w:r>
          </w:p>
        </w:tc>
        <w:tc>
          <w:tcPr>
            <w:tcW w:w="16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11870.6</w:t>
            </w:r>
          </w:p>
        </w:tc>
        <w:tc>
          <w:tcPr>
            <w:tcW w:w="1596" w:type="dxa"/>
            <w:tcBorders>
              <w:tl2br w:val="nil"/>
              <w:tr2bl w:val="nil"/>
            </w:tcBorders>
            <w:vAlign w:val="center"/>
          </w:tcPr>
          <w:p>
            <w:pPr>
              <w:adjustRightInd/>
              <w:spacing w:line="240" w:lineRule="auto"/>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500" w:type="dxa"/>
            <w:tcBorders>
              <w:tl2br w:val="nil"/>
              <w:tr2bl w:val="nil"/>
            </w:tcBorders>
            <w:vAlign w:val="center"/>
          </w:tcPr>
          <w:p>
            <w:pPr>
              <w:adjustRightInd/>
              <w:spacing w:line="240" w:lineRule="auto"/>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7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生猪</w:t>
            </w:r>
          </w:p>
        </w:tc>
        <w:tc>
          <w:tcPr>
            <w:tcW w:w="12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124380</w:t>
            </w:r>
          </w:p>
        </w:tc>
        <w:tc>
          <w:tcPr>
            <w:tcW w:w="16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783594</w:t>
            </w:r>
          </w:p>
        </w:tc>
        <w:tc>
          <w:tcPr>
            <w:tcW w:w="159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101400</w:t>
            </w:r>
          </w:p>
        </w:tc>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638820</w:t>
            </w:r>
          </w:p>
        </w:tc>
        <w:tc>
          <w:tcPr>
            <w:tcW w:w="137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蛋鹅</w:t>
            </w:r>
          </w:p>
        </w:tc>
        <w:tc>
          <w:tcPr>
            <w:tcW w:w="125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w:t>
            </w:r>
          </w:p>
        </w:tc>
        <w:tc>
          <w:tcPr>
            <w:tcW w:w="16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3955</w:t>
            </w:r>
          </w:p>
        </w:tc>
        <w:tc>
          <w:tcPr>
            <w:tcW w:w="1596"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500" w:type="dxa"/>
            <w:tcBorders>
              <w:tl2br w:val="nil"/>
              <w:tr2bl w:val="nil"/>
            </w:tcBorders>
            <w:vAlign w:val="center"/>
          </w:tcPr>
          <w:p>
            <w:pPr>
              <w:adjustRightInd/>
              <w:spacing w:line="240" w:lineRule="auto"/>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7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合计</w:t>
            </w:r>
          </w:p>
        </w:tc>
        <w:tc>
          <w:tcPr>
            <w:tcW w:w="1254" w:type="dxa"/>
            <w:tcBorders>
              <w:tl2br w:val="nil"/>
              <w:tr2bl w:val="nil"/>
            </w:tcBorders>
            <w:vAlign w:val="center"/>
          </w:tcPr>
          <w:p>
            <w:pPr>
              <w:adjustRightInd/>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650" w:type="dxa"/>
            <w:tcBorders>
              <w:tl2br w:val="nil"/>
              <w:tr2bl w:val="nil"/>
            </w:tcBorders>
            <w:vAlign w:val="center"/>
          </w:tcPr>
          <w:p>
            <w:pPr>
              <w:adjustRightInd/>
              <w:spacing w:line="240" w:lineRule="auto"/>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596" w:type="dxa"/>
            <w:tcBorders>
              <w:tl2br w:val="nil"/>
              <w:tr2bl w:val="nil"/>
            </w:tcBorders>
            <w:vAlign w:val="center"/>
          </w:tcPr>
          <w:p>
            <w:pPr>
              <w:adjustRightInd/>
              <w:spacing w:line="240" w:lineRule="auto"/>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500" w:type="dxa"/>
            <w:tcBorders>
              <w:tl2br w:val="nil"/>
              <w:tr2bl w:val="nil"/>
            </w:tcBorders>
            <w:vAlign w:val="center"/>
          </w:tcPr>
          <w:p>
            <w:pPr>
              <w:adjustRightInd/>
              <w:spacing w:line="240" w:lineRule="auto"/>
              <w:ind w:firstLine="0" w:firstLineChars="0"/>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7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68.62</w:t>
            </w:r>
          </w:p>
        </w:tc>
      </w:tr>
    </w:tbl>
    <w:p>
      <w:pPr>
        <w:adjustRightInd/>
        <w:ind w:firstLine="0" w:firstLineChars="0"/>
        <w:jc w:val="center"/>
        <w:rPr>
          <w:rFonts w:ascii="Times New Roman" w:hAnsi="Times New Roman" w:cs="Times New Roman"/>
          <w:b/>
          <w:color w:val="auto"/>
          <w:sz w:val="24"/>
        </w:rPr>
      </w:pPr>
    </w:p>
    <w:p>
      <w:pPr>
        <w:adjustRightInd/>
        <w:ind w:firstLine="560"/>
        <w:jc w:val="both"/>
        <w:rPr>
          <w:rFonts w:ascii="Times New Roman" w:hAnsi="Times New Roman" w:cs="Times New Roman"/>
          <w:color w:val="auto"/>
        </w:rPr>
        <w:sectPr>
          <w:headerReference r:id="rId13" w:type="default"/>
          <w:footerReference r:id="rId14" w:type="default"/>
          <w:pgSz w:w="11906" w:h="16838"/>
          <w:pgMar w:top="1985" w:right="1531" w:bottom="1814" w:left="1531" w:header="851" w:footer="1304" w:gutter="0"/>
          <w:cols w:space="425" w:num="1"/>
          <w:docGrid w:type="lines" w:linePitch="381" w:charSpace="0"/>
        </w:sectPr>
      </w:pPr>
    </w:p>
    <w:p>
      <w:pPr>
        <w:pStyle w:val="5"/>
        <w:widowControl w:val="0"/>
        <w:spacing w:beforeLines="0" w:afterLines="0" w:line="560" w:lineRule="exact"/>
        <w:ind w:firstLine="643" w:firstLineChars="200"/>
        <w:jc w:val="both"/>
        <w:rPr>
          <w:color w:val="auto"/>
          <w:sz w:val="32"/>
          <w:szCs w:val="32"/>
        </w:rPr>
      </w:pPr>
      <w:bookmarkStart w:id="80" w:name="_Toc29474"/>
      <w:bookmarkStart w:id="81" w:name="_Toc117788570"/>
      <w:bookmarkStart w:id="82" w:name="_Toc117837744"/>
      <w:bookmarkStart w:id="83" w:name="_Toc112078501"/>
      <w:r>
        <w:rPr>
          <w:rFonts w:hint="eastAsia"/>
          <w:color w:val="auto"/>
          <w:sz w:val="32"/>
          <w:szCs w:val="32"/>
        </w:rPr>
        <w:t>2.4.2污染防治现状</w:t>
      </w:r>
      <w:bookmarkEnd w:id="80"/>
      <w:bookmarkEnd w:id="81"/>
      <w:bookmarkEnd w:id="82"/>
      <w:bookmarkEnd w:id="83"/>
    </w:p>
    <w:p>
      <w:pPr>
        <w:pStyle w:val="5"/>
        <w:widowControl w:val="0"/>
        <w:spacing w:beforeLines="0" w:afterLines="0" w:line="560" w:lineRule="exact"/>
        <w:ind w:firstLine="643" w:firstLineChars="200"/>
        <w:jc w:val="both"/>
        <w:rPr>
          <w:color w:val="auto"/>
          <w:sz w:val="32"/>
          <w:szCs w:val="32"/>
        </w:rPr>
      </w:pPr>
      <w:r>
        <w:rPr>
          <w:color w:val="auto"/>
          <w:sz w:val="32"/>
          <w:szCs w:val="32"/>
        </w:rPr>
        <w:t>2.4.2.1养殖粪污产生及利用空间分布</w:t>
      </w:r>
    </w:p>
    <w:p>
      <w:pPr>
        <w:tabs>
          <w:tab w:val="left" w:pos="312"/>
        </w:tabs>
        <w:adjustRightInd/>
        <w:spacing w:line="560" w:lineRule="exact"/>
        <w:ind w:firstLine="643"/>
        <w:jc w:val="both"/>
        <w:rPr>
          <w:rFonts w:ascii="Times New Roman" w:hAnsi="Times New Roman" w:cs="Times New Roman"/>
          <w:b/>
          <w:bCs/>
          <w:color w:val="auto"/>
          <w:sz w:val="32"/>
          <w:szCs w:val="32"/>
        </w:rPr>
      </w:pPr>
      <w:r>
        <w:rPr>
          <w:rFonts w:ascii="Times New Roman" w:hAnsi="Times New Roman" w:cs="Times New Roman"/>
          <w:b/>
          <w:color w:val="auto"/>
          <w:sz w:val="32"/>
          <w:szCs w:val="32"/>
        </w:rPr>
        <w:t>1</w:t>
      </w:r>
      <w:r>
        <w:rPr>
          <w:rFonts w:hint="eastAsia" w:ascii="Times New Roman" w:hAnsi="Times New Roman" w:cs="Times New Roman"/>
          <w:b/>
          <w:color w:val="auto"/>
          <w:sz w:val="32"/>
          <w:szCs w:val="32"/>
        </w:rPr>
        <w:t>.</w:t>
      </w:r>
      <w:r>
        <w:rPr>
          <w:rFonts w:ascii="Times New Roman" w:hAnsi="Times New Roman" w:cs="Times New Roman"/>
          <w:b/>
          <w:bCs/>
          <w:color w:val="auto"/>
          <w:sz w:val="32"/>
          <w:szCs w:val="32"/>
        </w:rPr>
        <w:t>全区养殖粪污产生情况</w:t>
      </w:r>
    </w:p>
    <w:p>
      <w:pPr>
        <w:adjustRightInd/>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表2.4-</w:t>
      </w:r>
      <w:r>
        <w:rPr>
          <w:rFonts w:hint="eastAsia" w:ascii="Times New Roman" w:hAnsi="Times New Roman" w:cs="Times New Roman"/>
          <w:b/>
          <w:color w:val="auto"/>
          <w:sz w:val="24"/>
        </w:rPr>
        <w:t>8  2021年</w:t>
      </w:r>
      <w:r>
        <w:rPr>
          <w:rFonts w:ascii="Times New Roman" w:hAnsi="Times New Roman" w:cs="Times New Roman"/>
          <w:b/>
          <w:color w:val="auto"/>
          <w:sz w:val="24"/>
        </w:rPr>
        <w:t>各</w:t>
      </w:r>
      <w:r>
        <w:rPr>
          <w:rFonts w:hint="eastAsia" w:ascii="Times New Roman" w:hAnsi="Times New Roman" w:cs="Times New Roman"/>
          <w:b/>
          <w:color w:val="auto"/>
          <w:sz w:val="24"/>
        </w:rPr>
        <w:t>镇街</w:t>
      </w:r>
      <w:r>
        <w:rPr>
          <w:rFonts w:ascii="Times New Roman" w:hAnsi="Times New Roman" w:cs="Times New Roman"/>
          <w:b/>
          <w:color w:val="auto"/>
          <w:sz w:val="24"/>
        </w:rPr>
        <w:t>畜禽养殖粪污产生情况表（单位：吨）</w:t>
      </w:r>
    </w:p>
    <w:tbl>
      <w:tblPr>
        <w:tblStyle w:val="29"/>
        <w:tblW w:w="15585" w:type="dxa"/>
        <w:tblInd w:w="-599"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70"/>
        <w:gridCol w:w="915"/>
        <w:gridCol w:w="780"/>
        <w:gridCol w:w="885"/>
        <w:gridCol w:w="825"/>
        <w:gridCol w:w="945"/>
        <w:gridCol w:w="1080"/>
        <w:gridCol w:w="960"/>
        <w:gridCol w:w="885"/>
        <w:gridCol w:w="855"/>
        <w:gridCol w:w="975"/>
        <w:gridCol w:w="975"/>
        <w:gridCol w:w="1005"/>
        <w:gridCol w:w="1035"/>
        <w:gridCol w:w="945"/>
        <w:gridCol w:w="105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470"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1695"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蛋禽</w:t>
            </w:r>
            <w:r>
              <w:rPr>
                <w:rFonts w:ascii="Times New Roman" w:hAnsi="Times New Roman" w:cs="Times New Roman"/>
                <w:b/>
                <w:bCs/>
                <w:color w:val="auto"/>
                <w:kern w:val="0"/>
                <w:sz w:val="21"/>
                <w:szCs w:val="21"/>
              </w:rPr>
              <w:t>排泄量</w:t>
            </w:r>
          </w:p>
        </w:tc>
        <w:tc>
          <w:tcPr>
            <w:tcW w:w="1710"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肉禽</w:t>
            </w:r>
            <w:r>
              <w:rPr>
                <w:rFonts w:ascii="Times New Roman" w:hAnsi="Times New Roman" w:cs="Times New Roman"/>
                <w:b/>
                <w:bCs/>
                <w:color w:val="auto"/>
                <w:kern w:val="0"/>
                <w:sz w:val="21"/>
                <w:szCs w:val="21"/>
              </w:rPr>
              <w:t>排泄量</w:t>
            </w:r>
          </w:p>
        </w:tc>
        <w:tc>
          <w:tcPr>
            <w:tcW w:w="2025"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奶牛</w:t>
            </w:r>
            <w:r>
              <w:rPr>
                <w:rFonts w:ascii="Times New Roman" w:hAnsi="Times New Roman" w:cs="Times New Roman"/>
                <w:b/>
                <w:bCs/>
                <w:color w:val="auto"/>
                <w:kern w:val="0"/>
                <w:sz w:val="21"/>
                <w:szCs w:val="21"/>
              </w:rPr>
              <w:t>排泄量</w:t>
            </w:r>
          </w:p>
        </w:tc>
        <w:tc>
          <w:tcPr>
            <w:tcW w:w="1845"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肉牛</w:t>
            </w:r>
            <w:r>
              <w:rPr>
                <w:rFonts w:ascii="Times New Roman" w:hAnsi="Times New Roman" w:cs="Times New Roman"/>
                <w:b/>
                <w:bCs/>
                <w:color w:val="auto"/>
                <w:kern w:val="0"/>
                <w:sz w:val="21"/>
                <w:szCs w:val="21"/>
              </w:rPr>
              <w:t>排泄量</w:t>
            </w:r>
          </w:p>
        </w:tc>
        <w:tc>
          <w:tcPr>
            <w:tcW w:w="1830"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山羊</w:t>
            </w:r>
            <w:r>
              <w:rPr>
                <w:rFonts w:ascii="Times New Roman" w:hAnsi="Times New Roman" w:cs="Times New Roman"/>
                <w:b/>
                <w:bCs/>
                <w:color w:val="auto"/>
                <w:kern w:val="0"/>
                <w:sz w:val="21"/>
                <w:szCs w:val="21"/>
              </w:rPr>
              <w:t>排泄量</w:t>
            </w:r>
          </w:p>
        </w:tc>
        <w:tc>
          <w:tcPr>
            <w:tcW w:w="1980"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生猪</w:t>
            </w:r>
            <w:r>
              <w:rPr>
                <w:rFonts w:ascii="Times New Roman" w:hAnsi="Times New Roman" w:cs="Times New Roman"/>
                <w:b/>
                <w:bCs/>
                <w:color w:val="auto"/>
                <w:kern w:val="0"/>
                <w:sz w:val="21"/>
                <w:szCs w:val="21"/>
              </w:rPr>
              <w:t>排泄量</w:t>
            </w:r>
          </w:p>
        </w:tc>
        <w:tc>
          <w:tcPr>
            <w:tcW w:w="1980"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合计</w:t>
            </w:r>
            <w:r>
              <w:rPr>
                <w:rFonts w:ascii="Times New Roman" w:hAnsi="Times New Roman" w:cs="Times New Roman"/>
                <w:b/>
                <w:bCs/>
                <w:color w:val="auto"/>
                <w:kern w:val="0"/>
                <w:sz w:val="21"/>
                <w:szCs w:val="21"/>
              </w:rPr>
              <w:t>排泄量</w:t>
            </w:r>
          </w:p>
        </w:tc>
        <w:tc>
          <w:tcPr>
            <w:tcW w:w="1050"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合计粪污</w:t>
            </w:r>
            <w:r>
              <w:rPr>
                <w:rFonts w:hint="eastAsia" w:ascii="Times New Roman" w:hAnsi="Times New Roman" w:cs="Times New Roman"/>
                <w:b/>
                <w:bCs/>
                <w:color w:val="auto"/>
                <w:kern w:val="0"/>
                <w:sz w:val="21"/>
                <w:szCs w:val="21"/>
              </w:rPr>
              <w:t>产生</w:t>
            </w:r>
            <w:r>
              <w:rPr>
                <w:rFonts w:ascii="Times New Roman" w:hAnsi="Times New Roman" w:cs="Times New Roman"/>
                <w:b/>
                <w:bCs/>
                <w:color w:val="auto"/>
                <w:kern w:val="0"/>
                <w:sz w:val="21"/>
                <w:szCs w:val="21"/>
              </w:rPr>
              <w:t>总量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470"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1050"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文昌街道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3352</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15330</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6880</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5877</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2938</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218</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307</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3025</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4991</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27802</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15116</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42918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归德街道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5199</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1259</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8943</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4471</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5110</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2555</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20784</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34293</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41295</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41319</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82614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平安街道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2255</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1638</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17520</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8760</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6132</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3066</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110</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153</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1015</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1675</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28670</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13654</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42324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张夏街道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3992</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8078</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3577</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1789</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172</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240</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788</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1300</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16606</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3329</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19935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马山镇</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6849</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273</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1095</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548</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13134</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21671</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21351</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22219</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43570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孝里街道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4884</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7812</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2920</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1460</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88</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123</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3431</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5661</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19135</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7244</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26379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万德街道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7580</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2120</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4380</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2190</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3463</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5713</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17543</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7903</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25446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五峰山街道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2184</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2332</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3848</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4516</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3848</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8365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双泉镇</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279</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730</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365</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303</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424</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1114</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1839</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2426</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2628</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5054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崮云湖街道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1802</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418</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690</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2220</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690</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总计</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34390</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25166</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45370</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21900</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26244</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13122</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891</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1247</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49503</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81681</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181564</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117950</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299513</w:t>
            </w:r>
          </w:p>
        </w:tc>
      </w:tr>
    </w:tbl>
    <w:p>
      <w:pPr>
        <w:pStyle w:val="6"/>
        <w:ind w:firstLine="0" w:firstLineChars="0"/>
        <w:rPr>
          <w:b/>
          <w:color w:val="auto"/>
        </w:rPr>
        <w:sectPr>
          <w:pgSz w:w="16838" w:h="11906" w:orient="landscape"/>
          <w:pgMar w:top="1800" w:right="1440" w:bottom="1800" w:left="1440" w:header="851" w:footer="992" w:gutter="0"/>
          <w:cols w:space="425" w:num="1"/>
          <w:docGrid w:type="lines" w:linePitch="312" w:charSpace="0"/>
        </w:sectPr>
      </w:pPr>
    </w:p>
    <w:p>
      <w:pPr>
        <w:widowControl w:val="0"/>
        <w:adjustRightInd/>
        <w:spacing w:line="54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根据《畜禽养殖业污染治理工程技术规范》（</w:t>
      </w:r>
      <w:r>
        <w:rPr>
          <w:rFonts w:ascii="Times New Roman" w:hAnsi="Times New Roman" w:cs="Times New Roman"/>
          <w:color w:val="auto"/>
          <w:sz w:val="32"/>
          <w:szCs w:val="32"/>
        </w:rPr>
        <w:t>HJ497-2009</w:t>
      </w:r>
      <w:r>
        <w:rPr>
          <w:rFonts w:hint="eastAsia" w:ascii="Times New Roman" w:hAnsi="Times New Roman" w:cs="Times New Roman"/>
          <w:color w:val="auto"/>
          <w:sz w:val="32"/>
          <w:szCs w:val="32"/>
        </w:rPr>
        <w:t>）</w:t>
      </w:r>
      <w:r>
        <w:rPr>
          <w:rFonts w:hint="eastAsia"/>
          <w:color w:val="auto"/>
          <w:sz w:val="32"/>
          <w:szCs w:val="32"/>
        </w:rPr>
        <w:t>，结合</w:t>
      </w:r>
      <w:r>
        <w:rPr>
          <w:rFonts w:ascii="Times New Roman" w:hAnsi="Times New Roman" w:cs="Times New Roman"/>
          <w:color w:val="auto"/>
          <w:sz w:val="32"/>
          <w:szCs w:val="32"/>
        </w:rPr>
        <w:t>长清区畜牧中心数据，2021年，全区畜禽养殖粪污总产生量为</w:t>
      </w:r>
      <w:r>
        <w:rPr>
          <w:rFonts w:hint="eastAsia" w:ascii="Times New Roman" w:hAnsi="Times New Roman" w:cs="Times New Roman"/>
          <w:color w:val="auto"/>
          <w:sz w:val="32"/>
          <w:szCs w:val="32"/>
        </w:rPr>
        <w:t>299513</w:t>
      </w:r>
      <w:r>
        <w:rPr>
          <w:rFonts w:ascii="Times New Roman" w:hAnsi="Times New Roman" w:cs="Times New Roman"/>
          <w:color w:val="auto"/>
          <w:sz w:val="32"/>
          <w:szCs w:val="32"/>
        </w:rPr>
        <w:t>吨，其中粪便产生量为</w:t>
      </w:r>
      <w:r>
        <w:rPr>
          <w:rFonts w:hint="eastAsia" w:ascii="Times New Roman" w:hAnsi="Times New Roman" w:cs="Times New Roman"/>
          <w:color w:val="auto"/>
          <w:sz w:val="32"/>
          <w:szCs w:val="32"/>
        </w:rPr>
        <w:t>181563</w:t>
      </w:r>
      <w:r>
        <w:rPr>
          <w:rFonts w:ascii="Times New Roman" w:hAnsi="Times New Roman" w:cs="Times New Roman"/>
          <w:color w:val="auto"/>
          <w:sz w:val="32"/>
          <w:szCs w:val="32"/>
        </w:rPr>
        <w:t>吨，污水产生量为</w:t>
      </w:r>
      <w:r>
        <w:rPr>
          <w:rFonts w:hint="eastAsia" w:ascii="Times New Roman" w:hAnsi="Times New Roman" w:cs="Times New Roman"/>
          <w:color w:val="auto"/>
          <w:sz w:val="32"/>
          <w:szCs w:val="32"/>
        </w:rPr>
        <w:t>117949</w:t>
      </w:r>
      <w:r>
        <w:rPr>
          <w:rFonts w:ascii="Times New Roman" w:hAnsi="Times New Roman" w:cs="Times New Roman"/>
          <w:color w:val="auto"/>
          <w:sz w:val="32"/>
          <w:szCs w:val="32"/>
        </w:rPr>
        <w:t>吨。见表2.4-</w:t>
      </w:r>
      <w:r>
        <w:rPr>
          <w:rFonts w:hint="eastAsia" w:ascii="Times New Roman" w:hAnsi="Times New Roman" w:cs="Times New Roman"/>
          <w:color w:val="auto"/>
          <w:sz w:val="32"/>
          <w:szCs w:val="32"/>
        </w:rPr>
        <w:t>8</w:t>
      </w:r>
      <w:r>
        <w:rPr>
          <w:rFonts w:ascii="Times New Roman" w:hAnsi="Times New Roman" w:cs="Times New Roman"/>
          <w:color w:val="auto"/>
          <w:sz w:val="32"/>
          <w:szCs w:val="32"/>
        </w:rPr>
        <w:t>。</w:t>
      </w:r>
    </w:p>
    <w:p>
      <w:pPr>
        <w:widowControl w:val="0"/>
        <w:adjustRightInd/>
        <w:spacing w:line="54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其中畜禽养殖粪污产生量大的</w:t>
      </w:r>
      <w:r>
        <w:rPr>
          <w:rFonts w:hint="eastAsia" w:ascii="Times New Roman" w:hAnsi="Times New Roman" w:cs="Times New Roman"/>
          <w:color w:val="auto"/>
          <w:sz w:val="32"/>
          <w:szCs w:val="32"/>
        </w:rPr>
        <w:t>镇街</w:t>
      </w:r>
      <w:r>
        <w:rPr>
          <w:rFonts w:ascii="Times New Roman" w:hAnsi="Times New Roman" w:cs="Times New Roman"/>
          <w:color w:val="auto"/>
          <w:sz w:val="32"/>
          <w:szCs w:val="32"/>
        </w:rPr>
        <w:t>依次是归德街道、</w:t>
      </w:r>
      <w:r>
        <w:rPr>
          <w:rFonts w:hint="eastAsia" w:ascii="Times New Roman" w:hAnsi="Times New Roman" w:cs="Times New Roman"/>
          <w:color w:val="auto"/>
          <w:sz w:val="32"/>
          <w:szCs w:val="32"/>
        </w:rPr>
        <w:t>马山镇</w:t>
      </w:r>
      <w:r>
        <w:rPr>
          <w:rFonts w:ascii="Times New Roman" w:hAnsi="Times New Roman" w:cs="Times New Roman"/>
          <w:color w:val="auto"/>
          <w:sz w:val="32"/>
          <w:szCs w:val="32"/>
        </w:rPr>
        <w:t>、</w:t>
      </w:r>
      <w:r>
        <w:rPr>
          <w:rFonts w:hint="eastAsia" w:ascii="Times New Roman" w:hAnsi="Times New Roman" w:cs="Times New Roman"/>
          <w:color w:val="auto"/>
          <w:sz w:val="32"/>
          <w:szCs w:val="32"/>
        </w:rPr>
        <w:t>文昌</w:t>
      </w:r>
      <w:r>
        <w:rPr>
          <w:rFonts w:ascii="Times New Roman" w:hAnsi="Times New Roman" w:cs="Times New Roman"/>
          <w:color w:val="auto"/>
          <w:sz w:val="32"/>
          <w:szCs w:val="32"/>
        </w:rPr>
        <w:t>街道，占比分别为</w:t>
      </w:r>
      <w:r>
        <w:rPr>
          <w:rFonts w:hint="eastAsia" w:ascii="Times New Roman" w:hAnsi="Times New Roman" w:cs="Times New Roman"/>
          <w:color w:val="auto"/>
          <w:sz w:val="32"/>
          <w:szCs w:val="32"/>
        </w:rPr>
        <w:t>27.58</w:t>
      </w:r>
      <w:r>
        <w:rPr>
          <w:rFonts w:ascii="Times New Roman" w:hAnsi="Times New Roman" w:cs="Times New Roman"/>
          <w:color w:val="auto"/>
          <w:sz w:val="32"/>
          <w:szCs w:val="32"/>
        </w:rPr>
        <w:t>%、</w:t>
      </w:r>
      <w:r>
        <w:rPr>
          <w:rFonts w:hint="eastAsia" w:ascii="Times New Roman" w:hAnsi="Times New Roman" w:cs="Times New Roman"/>
          <w:color w:val="auto"/>
          <w:sz w:val="32"/>
          <w:szCs w:val="32"/>
        </w:rPr>
        <w:t>14.55</w:t>
      </w:r>
      <w:r>
        <w:rPr>
          <w:rFonts w:ascii="Times New Roman" w:hAnsi="Times New Roman" w:cs="Times New Roman"/>
          <w:color w:val="auto"/>
          <w:sz w:val="32"/>
          <w:szCs w:val="32"/>
        </w:rPr>
        <w:t>%、</w:t>
      </w:r>
      <w:r>
        <w:rPr>
          <w:rFonts w:hint="eastAsia" w:ascii="Times New Roman" w:hAnsi="Times New Roman" w:cs="Times New Roman"/>
          <w:color w:val="auto"/>
          <w:sz w:val="32"/>
          <w:szCs w:val="32"/>
        </w:rPr>
        <w:t>14.33</w:t>
      </w:r>
      <w:r>
        <w:rPr>
          <w:rFonts w:ascii="Times New Roman" w:hAnsi="Times New Roman" w:cs="Times New Roman"/>
          <w:color w:val="auto"/>
          <w:sz w:val="32"/>
          <w:szCs w:val="32"/>
        </w:rPr>
        <w:t>%。</w:t>
      </w:r>
    </w:p>
    <w:p>
      <w:pPr>
        <w:widowControl w:val="0"/>
        <w:adjustRightInd/>
        <w:spacing w:line="540" w:lineRule="exact"/>
        <w:ind w:firstLine="643"/>
        <w:jc w:val="both"/>
        <w:rPr>
          <w:rFonts w:ascii="Times New Roman" w:hAnsi="Times New Roman" w:cs="Times New Roman"/>
          <w:b/>
          <w:bCs/>
          <w:color w:val="auto"/>
          <w:sz w:val="32"/>
          <w:szCs w:val="32"/>
        </w:rPr>
      </w:pPr>
      <w:r>
        <w:rPr>
          <w:rFonts w:hint="eastAsia" w:ascii="Times New Roman" w:hAnsi="Times New Roman" w:cs="Times New Roman"/>
          <w:b/>
          <w:bCs/>
          <w:color w:val="auto"/>
          <w:sz w:val="32"/>
          <w:szCs w:val="32"/>
        </w:rPr>
        <w:t>2</w:t>
      </w:r>
      <w:r>
        <w:rPr>
          <w:rFonts w:ascii="Times New Roman" w:hAnsi="Times New Roman" w:cs="Times New Roman"/>
          <w:b/>
          <w:bCs/>
          <w:color w:val="auto"/>
          <w:sz w:val="32"/>
          <w:szCs w:val="32"/>
        </w:rPr>
        <w:t>.全区养殖粪污利用情况</w:t>
      </w:r>
    </w:p>
    <w:p>
      <w:pPr>
        <w:widowControl w:val="0"/>
        <w:adjustRightInd/>
        <w:spacing w:line="54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根据计算数据，2021年</w:t>
      </w:r>
      <w:r>
        <w:rPr>
          <w:rFonts w:hint="eastAsia" w:ascii="Times New Roman" w:hAnsi="Times New Roman" w:cs="Times New Roman"/>
          <w:color w:val="auto"/>
          <w:sz w:val="32"/>
          <w:szCs w:val="32"/>
        </w:rPr>
        <w:t>，</w:t>
      </w:r>
      <w:r>
        <w:rPr>
          <w:rFonts w:ascii="Times New Roman" w:hAnsi="Times New Roman" w:cs="Times New Roman"/>
          <w:color w:val="auto"/>
          <w:sz w:val="32"/>
          <w:szCs w:val="32"/>
        </w:rPr>
        <w:t>全区畜禽养殖粪污</w:t>
      </w:r>
      <w:r>
        <w:rPr>
          <w:rFonts w:hint="eastAsia" w:ascii="Times New Roman" w:hAnsi="Times New Roman" w:cs="Times New Roman"/>
          <w:color w:val="auto"/>
          <w:sz w:val="32"/>
          <w:szCs w:val="32"/>
        </w:rPr>
        <w:t>利用</w:t>
      </w:r>
      <w:r>
        <w:rPr>
          <w:rFonts w:ascii="Times New Roman" w:hAnsi="Times New Roman" w:cs="Times New Roman"/>
          <w:color w:val="auto"/>
          <w:sz w:val="32"/>
          <w:szCs w:val="32"/>
        </w:rPr>
        <w:t>量为</w:t>
      </w:r>
      <w:r>
        <w:rPr>
          <w:rFonts w:hint="eastAsia" w:ascii="Times New Roman" w:hAnsi="Times New Roman" w:cs="Times New Roman"/>
          <w:color w:val="auto"/>
          <w:sz w:val="32"/>
          <w:szCs w:val="32"/>
        </w:rPr>
        <w:t>272831</w:t>
      </w:r>
      <w:r>
        <w:rPr>
          <w:rFonts w:ascii="Times New Roman" w:hAnsi="Times New Roman" w:cs="Times New Roman"/>
          <w:color w:val="auto"/>
          <w:sz w:val="32"/>
          <w:szCs w:val="32"/>
        </w:rPr>
        <w:t>吨，其中畜禽养殖粪污</w:t>
      </w:r>
      <w:r>
        <w:rPr>
          <w:rFonts w:hint="eastAsia" w:ascii="Times New Roman" w:hAnsi="Times New Roman" w:cs="Times New Roman"/>
          <w:color w:val="auto"/>
          <w:sz w:val="32"/>
          <w:szCs w:val="32"/>
        </w:rPr>
        <w:t>利用</w:t>
      </w:r>
      <w:r>
        <w:rPr>
          <w:rFonts w:ascii="Times New Roman" w:hAnsi="Times New Roman" w:cs="Times New Roman"/>
          <w:color w:val="auto"/>
          <w:sz w:val="32"/>
          <w:szCs w:val="32"/>
        </w:rPr>
        <w:t>量大的</w:t>
      </w:r>
      <w:r>
        <w:rPr>
          <w:rFonts w:hint="eastAsia" w:ascii="Times New Roman" w:hAnsi="Times New Roman" w:cs="Times New Roman"/>
          <w:color w:val="auto"/>
          <w:sz w:val="32"/>
          <w:szCs w:val="32"/>
        </w:rPr>
        <w:t>镇街</w:t>
      </w:r>
      <w:r>
        <w:rPr>
          <w:rFonts w:ascii="Times New Roman" w:hAnsi="Times New Roman" w:cs="Times New Roman"/>
          <w:color w:val="auto"/>
          <w:sz w:val="32"/>
          <w:szCs w:val="32"/>
        </w:rPr>
        <w:t>依次是归德街道、</w:t>
      </w:r>
      <w:r>
        <w:rPr>
          <w:rFonts w:hint="eastAsia" w:ascii="Times New Roman" w:hAnsi="Times New Roman" w:cs="Times New Roman"/>
          <w:color w:val="auto"/>
          <w:sz w:val="32"/>
          <w:szCs w:val="32"/>
        </w:rPr>
        <w:t>文昌</w:t>
      </w:r>
      <w:r>
        <w:rPr>
          <w:rFonts w:ascii="Times New Roman" w:hAnsi="Times New Roman" w:cs="Times New Roman"/>
          <w:color w:val="auto"/>
          <w:sz w:val="32"/>
          <w:szCs w:val="32"/>
        </w:rPr>
        <w:t>街道</w:t>
      </w:r>
      <w:r>
        <w:rPr>
          <w:rFonts w:hint="eastAsia" w:ascii="Times New Roman" w:hAnsi="Times New Roman" w:cs="Times New Roman"/>
          <w:color w:val="auto"/>
          <w:sz w:val="32"/>
          <w:szCs w:val="32"/>
        </w:rPr>
        <w:t>、马山镇</w:t>
      </w:r>
      <w:r>
        <w:rPr>
          <w:rFonts w:ascii="Times New Roman" w:hAnsi="Times New Roman" w:cs="Times New Roman"/>
          <w:color w:val="auto"/>
          <w:sz w:val="32"/>
          <w:szCs w:val="32"/>
        </w:rPr>
        <w:t>，三个</w:t>
      </w:r>
      <w:r>
        <w:rPr>
          <w:rFonts w:hint="eastAsia" w:ascii="Times New Roman" w:hAnsi="Times New Roman" w:cs="Times New Roman"/>
          <w:color w:val="auto"/>
          <w:sz w:val="32"/>
          <w:szCs w:val="32"/>
        </w:rPr>
        <w:t>镇街</w:t>
      </w:r>
      <w:r>
        <w:rPr>
          <w:rFonts w:ascii="Times New Roman" w:hAnsi="Times New Roman" w:cs="Times New Roman"/>
          <w:color w:val="auto"/>
          <w:sz w:val="32"/>
          <w:szCs w:val="32"/>
        </w:rPr>
        <w:t>粪污</w:t>
      </w:r>
      <w:r>
        <w:rPr>
          <w:rFonts w:hint="eastAsia" w:ascii="Times New Roman" w:hAnsi="Times New Roman" w:cs="Times New Roman"/>
          <w:color w:val="auto"/>
          <w:sz w:val="32"/>
          <w:szCs w:val="32"/>
        </w:rPr>
        <w:t>利用</w:t>
      </w:r>
      <w:r>
        <w:rPr>
          <w:rFonts w:ascii="Times New Roman" w:hAnsi="Times New Roman" w:cs="Times New Roman"/>
          <w:color w:val="auto"/>
          <w:sz w:val="32"/>
          <w:szCs w:val="32"/>
        </w:rPr>
        <w:t>量占</w:t>
      </w:r>
      <w:r>
        <w:rPr>
          <w:rFonts w:hint="eastAsia" w:ascii="Times New Roman" w:hAnsi="Times New Roman" w:cs="Times New Roman"/>
          <w:color w:val="auto"/>
          <w:sz w:val="32"/>
          <w:szCs w:val="32"/>
        </w:rPr>
        <w:t>全区总利用量的比例</w:t>
      </w:r>
      <w:r>
        <w:rPr>
          <w:rFonts w:ascii="Times New Roman" w:hAnsi="Times New Roman" w:cs="Times New Roman"/>
          <w:color w:val="auto"/>
          <w:sz w:val="32"/>
          <w:szCs w:val="32"/>
        </w:rPr>
        <w:t>分别为</w:t>
      </w:r>
      <w:r>
        <w:rPr>
          <w:rFonts w:hint="eastAsia" w:ascii="Times New Roman" w:hAnsi="Times New Roman" w:cs="Times New Roman"/>
          <w:color w:val="auto"/>
          <w:sz w:val="32"/>
          <w:szCs w:val="32"/>
        </w:rPr>
        <w:t>27.48</w:t>
      </w:r>
      <w:r>
        <w:rPr>
          <w:rFonts w:ascii="Times New Roman" w:hAnsi="Times New Roman" w:cs="Times New Roman"/>
          <w:color w:val="auto"/>
          <w:sz w:val="32"/>
          <w:szCs w:val="32"/>
        </w:rPr>
        <w:t>%、</w:t>
      </w:r>
      <w:r>
        <w:rPr>
          <w:rFonts w:hint="eastAsia" w:ascii="Times New Roman" w:hAnsi="Times New Roman" w:cs="Times New Roman"/>
          <w:color w:val="auto"/>
          <w:sz w:val="32"/>
          <w:szCs w:val="32"/>
        </w:rPr>
        <w:t>14.55</w:t>
      </w:r>
      <w:r>
        <w:rPr>
          <w:rFonts w:ascii="Times New Roman" w:hAnsi="Times New Roman" w:cs="Times New Roman"/>
          <w:color w:val="auto"/>
          <w:sz w:val="32"/>
          <w:szCs w:val="32"/>
        </w:rPr>
        <w:t>%、</w:t>
      </w:r>
      <w:r>
        <w:rPr>
          <w:rFonts w:hint="eastAsia" w:ascii="Times New Roman" w:hAnsi="Times New Roman" w:cs="Times New Roman"/>
          <w:color w:val="auto"/>
          <w:sz w:val="32"/>
          <w:szCs w:val="32"/>
        </w:rPr>
        <w:t>14.54</w:t>
      </w:r>
      <w:r>
        <w:rPr>
          <w:rFonts w:ascii="Times New Roman" w:hAnsi="Times New Roman" w:cs="Times New Roman"/>
          <w:color w:val="auto"/>
          <w:sz w:val="32"/>
          <w:szCs w:val="32"/>
        </w:rPr>
        <w:t>%</w:t>
      </w:r>
      <w:r>
        <w:rPr>
          <w:rFonts w:hint="eastAsia" w:ascii="Times New Roman" w:hAnsi="Times New Roman" w:cs="Times New Roman"/>
          <w:color w:val="auto"/>
          <w:sz w:val="32"/>
          <w:szCs w:val="32"/>
        </w:rPr>
        <w:t>。</w:t>
      </w:r>
      <w:r>
        <w:rPr>
          <w:rFonts w:ascii="Times New Roman" w:hAnsi="Times New Roman" w:cs="Times New Roman"/>
          <w:color w:val="auto"/>
          <w:sz w:val="32"/>
          <w:szCs w:val="32"/>
        </w:rPr>
        <w:t>详见表2.4-</w:t>
      </w:r>
      <w:r>
        <w:rPr>
          <w:rFonts w:hint="eastAsia" w:ascii="Times New Roman" w:hAnsi="Times New Roman" w:cs="Times New Roman"/>
          <w:color w:val="auto"/>
          <w:sz w:val="32"/>
          <w:szCs w:val="32"/>
        </w:rPr>
        <w:t>10</w:t>
      </w:r>
      <w:r>
        <w:rPr>
          <w:rFonts w:ascii="Times New Roman" w:hAnsi="Times New Roman" w:cs="Times New Roman"/>
          <w:color w:val="auto"/>
          <w:sz w:val="32"/>
          <w:szCs w:val="32"/>
        </w:rPr>
        <w:t>。</w:t>
      </w:r>
    </w:p>
    <w:p>
      <w:pPr>
        <w:widowControl w:val="0"/>
        <w:adjustRightInd/>
        <w:spacing w:line="54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2021年全区禽养殖粪污综合利用率为</w:t>
      </w:r>
      <w:r>
        <w:rPr>
          <w:rFonts w:hint="eastAsia" w:ascii="Times New Roman" w:hAnsi="Times New Roman" w:cs="Times New Roman"/>
          <w:color w:val="auto"/>
          <w:sz w:val="32"/>
          <w:szCs w:val="32"/>
        </w:rPr>
        <w:t>91.09</w:t>
      </w:r>
      <w:r>
        <w:rPr>
          <w:rFonts w:ascii="Times New Roman" w:hAnsi="Times New Roman" w:cs="Times New Roman"/>
          <w:color w:val="auto"/>
          <w:sz w:val="32"/>
          <w:szCs w:val="32"/>
        </w:rPr>
        <w:t>%，其中利用率占比高的依次为</w:t>
      </w:r>
      <w:r>
        <w:rPr>
          <w:rFonts w:hint="eastAsia" w:ascii="Times New Roman" w:hAnsi="Times New Roman" w:cs="Times New Roman"/>
          <w:color w:val="auto"/>
          <w:sz w:val="32"/>
          <w:szCs w:val="32"/>
        </w:rPr>
        <w:t>：文昌</w:t>
      </w:r>
      <w:r>
        <w:rPr>
          <w:rFonts w:ascii="Times New Roman" w:hAnsi="Times New Roman" w:cs="Times New Roman"/>
          <w:color w:val="auto"/>
          <w:sz w:val="32"/>
          <w:szCs w:val="32"/>
        </w:rPr>
        <w:t>街道的畜禽养殖粪污利用率为</w:t>
      </w:r>
      <w:r>
        <w:rPr>
          <w:rFonts w:hint="eastAsia" w:ascii="Times New Roman" w:hAnsi="Times New Roman" w:cs="Times New Roman"/>
          <w:color w:val="auto"/>
          <w:sz w:val="32"/>
          <w:szCs w:val="32"/>
        </w:rPr>
        <w:t>92.47</w:t>
      </w:r>
      <w:r>
        <w:rPr>
          <w:rFonts w:ascii="Times New Roman" w:hAnsi="Times New Roman" w:cs="Times New Roman"/>
          <w:color w:val="auto"/>
          <w:sz w:val="32"/>
          <w:szCs w:val="32"/>
        </w:rPr>
        <w:t>%，</w:t>
      </w:r>
      <w:r>
        <w:rPr>
          <w:rFonts w:hint="eastAsia" w:ascii="Times New Roman" w:hAnsi="Times New Roman" w:cs="Times New Roman"/>
          <w:color w:val="auto"/>
          <w:sz w:val="32"/>
          <w:szCs w:val="32"/>
        </w:rPr>
        <w:t>万德</w:t>
      </w:r>
      <w:r>
        <w:rPr>
          <w:rFonts w:ascii="Times New Roman" w:hAnsi="Times New Roman" w:cs="Times New Roman"/>
          <w:color w:val="auto"/>
          <w:sz w:val="32"/>
          <w:szCs w:val="32"/>
        </w:rPr>
        <w:t>街道畜禽养殖粪污利用率为</w:t>
      </w:r>
      <w:r>
        <w:rPr>
          <w:rFonts w:hint="eastAsia" w:ascii="Times New Roman" w:hAnsi="Times New Roman" w:cs="Times New Roman"/>
          <w:color w:val="auto"/>
          <w:sz w:val="32"/>
          <w:szCs w:val="32"/>
        </w:rPr>
        <w:t>91.37</w:t>
      </w:r>
      <w:r>
        <w:rPr>
          <w:rFonts w:ascii="Times New Roman" w:hAnsi="Times New Roman" w:cs="Times New Roman"/>
          <w:color w:val="auto"/>
          <w:sz w:val="32"/>
          <w:szCs w:val="32"/>
        </w:rPr>
        <w:t>%，详见表2.4-</w:t>
      </w:r>
      <w:r>
        <w:rPr>
          <w:rFonts w:hint="eastAsia" w:ascii="Times New Roman" w:hAnsi="Times New Roman" w:cs="Times New Roman"/>
          <w:color w:val="auto"/>
          <w:sz w:val="32"/>
          <w:szCs w:val="32"/>
        </w:rPr>
        <w:t>9</w:t>
      </w:r>
      <w:r>
        <w:rPr>
          <w:rFonts w:ascii="Times New Roman" w:hAnsi="Times New Roman" w:cs="Times New Roman"/>
          <w:color w:val="auto"/>
          <w:sz w:val="32"/>
          <w:szCs w:val="32"/>
        </w:rPr>
        <w:t>。</w:t>
      </w:r>
    </w:p>
    <w:p>
      <w:pPr>
        <w:adjustRightInd/>
        <w:ind w:firstLine="0" w:firstLineChars="0"/>
        <w:jc w:val="center"/>
        <w:rPr>
          <w:rFonts w:ascii="Times New Roman" w:hAnsi="Times New Roman" w:cs="Times New Roman"/>
          <w:b/>
          <w:bCs/>
          <w:color w:val="auto"/>
        </w:rPr>
      </w:pPr>
      <w:r>
        <w:rPr>
          <w:rFonts w:ascii="Times New Roman" w:hAnsi="Times New Roman" w:cs="Times New Roman"/>
          <w:b/>
          <w:bCs/>
          <w:color w:val="auto"/>
          <w:sz w:val="24"/>
          <w:szCs w:val="21"/>
        </w:rPr>
        <w:t>表2.4-</w:t>
      </w:r>
      <w:r>
        <w:rPr>
          <w:rFonts w:hint="eastAsia" w:ascii="Times New Roman" w:hAnsi="Times New Roman" w:cs="Times New Roman"/>
          <w:b/>
          <w:bCs/>
          <w:color w:val="auto"/>
          <w:sz w:val="24"/>
          <w:szCs w:val="21"/>
        </w:rPr>
        <w:t>9</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各</w:t>
      </w:r>
      <w:r>
        <w:rPr>
          <w:rFonts w:hint="eastAsia" w:ascii="Times New Roman" w:hAnsi="Times New Roman" w:cs="Times New Roman"/>
          <w:b/>
          <w:bCs/>
          <w:color w:val="auto"/>
          <w:sz w:val="24"/>
          <w:szCs w:val="21"/>
        </w:rPr>
        <w:t>镇街</w:t>
      </w:r>
      <w:r>
        <w:rPr>
          <w:rFonts w:ascii="Times New Roman" w:hAnsi="Times New Roman" w:cs="Times New Roman"/>
          <w:b/>
          <w:bCs/>
          <w:color w:val="auto"/>
          <w:sz w:val="24"/>
          <w:szCs w:val="21"/>
        </w:rPr>
        <w:t>畜禽养殖粪污利用比例</w:t>
      </w:r>
    </w:p>
    <w:tbl>
      <w:tblPr>
        <w:tblStyle w:val="30"/>
        <w:tblW w:w="88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2204"/>
        <w:gridCol w:w="2204"/>
        <w:gridCol w:w="22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粪污产生量（吨）</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粪污利用量（吨）</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粪污利用率（%）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42918</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39685</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82614</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74976</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42324</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38544</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19935</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17981</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43570</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39675</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26379</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23920</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25446</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23249</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8365</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7603</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5054</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4574</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2910</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2624</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总计</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299513</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272831</w:t>
            </w:r>
          </w:p>
        </w:tc>
        <w:tc>
          <w:tcPr>
            <w:tcW w:w="220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91.09</w:t>
            </w:r>
          </w:p>
        </w:tc>
      </w:tr>
    </w:tbl>
    <w:p>
      <w:pPr>
        <w:adjustRightInd/>
        <w:ind w:firstLine="0" w:firstLineChars="0"/>
        <w:jc w:val="center"/>
        <w:rPr>
          <w:rFonts w:ascii="Times New Roman" w:hAnsi="Times New Roman" w:cs="Times New Roman"/>
          <w:b/>
          <w:bCs/>
          <w:color w:val="auto"/>
          <w:sz w:val="24"/>
          <w:szCs w:val="21"/>
        </w:rPr>
        <w:sectPr>
          <w:pgSz w:w="11906" w:h="16838"/>
          <w:pgMar w:top="1814" w:right="1531" w:bottom="1758" w:left="1531" w:header="851" w:footer="992" w:gutter="0"/>
          <w:cols w:space="425" w:num="1"/>
          <w:docGrid w:type="lines" w:linePitch="312" w:charSpace="0"/>
        </w:sectPr>
      </w:pPr>
    </w:p>
    <w:p>
      <w:pPr>
        <w:adjustRightInd/>
        <w:ind w:firstLine="0" w:firstLineChars="0"/>
        <w:jc w:val="center"/>
        <w:rPr>
          <w:rFonts w:ascii="Times New Roman" w:hAnsi="Times New Roman" w:cs="Times New Roman"/>
          <w:b/>
          <w:bCs/>
          <w:color w:val="auto"/>
          <w:sz w:val="24"/>
          <w:szCs w:val="21"/>
        </w:rPr>
      </w:pPr>
      <w:r>
        <w:rPr>
          <w:rFonts w:ascii="Times New Roman" w:hAnsi="Times New Roman" w:cs="Times New Roman"/>
          <w:b/>
          <w:bCs/>
          <w:color w:val="auto"/>
          <w:sz w:val="24"/>
          <w:szCs w:val="21"/>
        </w:rPr>
        <w:t>表2.4-1</w:t>
      </w:r>
      <w:r>
        <w:rPr>
          <w:rFonts w:hint="eastAsia" w:ascii="Times New Roman" w:hAnsi="Times New Roman" w:cs="Times New Roman"/>
          <w:b/>
          <w:bCs/>
          <w:color w:val="auto"/>
          <w:sz w:val="24"/>
          <w:szCs w:val="21"/>
        </w:rPr>
        <w:t>0</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各</w:t>
      </w:r>
      <w:r>
        <w:rPr>
          <w:rFonts w:hint="eastAsia" w:ascii="Times New Roman" w:hAnsi="Times New Roman" w:cs="Times New Roman"/>
          <w:b/>
          <w:bCs/>
          <w:color w:val="auto"/>
          <w:sz w:val="24"/>
          <w:szCs w:val="21"/>
        </w:rPr>
        <w:t>镇街</w:t>
      </w:r>
      <w:r>
        <w:rPr>
          <w:rFonts w:ascii="Times New Roman" w:hAnsi="Times New Roman" w:cs="Times New Roman"/>
          <w:b/>
          <w:bCs/>
          <w:color w:val="auto"/>
          <w:sz w:val="24"/>
          <w:szCs w:val="21"/>
        </w:rPr>
        <w:t>畜禽养殖粪污利用情况表</w:t>
      </w:r>
      <w:r>
        <w:rPr>
          <w:rFonts w:ascii="Times New Roman" w:hAnsi="Times New Roman" w:cs="Times New Roman"/>
          <w:b/>
          <w:color w:val="auto"/>
          <w:sz w:val="24"/>
        </w:rPr>
        <w:t>（单位：吨）</w:t>
      </w:r>
    </w:p>
    <w:tbl>
      <w:tblPr>
        <w:tblStyle w:val="29"/>
        <w:tblW w:w="15585" w:type="dxa"/>
        <w:tblInd w:w="-599"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70"/>
        <w:gridCol w:w="915"/>
        <w:gridCol w:w="780"/>
        <w:gridCol w:w="885"/>
        <w:gridCol w:w="825"/>
        <w:gridCol w:w="945"/>
        <w:gridCol w:w="1080"/>
        <w:gridCol w:w="960"/>
        <w:gridCol w:w="885"/>
        <w:gridCol w:w="855"/>
        <w:gridCol w:w="975"/>
        <w:gridCol w:w="975"/>
        <w:gridCol w:w="1005"/>
        <w:gridCol w:w="1035"/>
        <w:gridCol w:w="945"/>
        <w:gridCol w:w="105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510" w:hRule="atLeast"/>
        </w:trPr>
        <w:tc>
          <w:tcPr>
            <w:tcW w:w="1470"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1695"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蛋禽粪污利用量</w:t>
            </w:r>
          </w:p>
        </w:tc>
        <w:tc>
          <w:tcPr>
            <w:tcW w:w="1710"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肉禽粪污利用量</w:t>
            </w:r>
          </w:p>
        </w:tc>
        <w:tc>
          <w:tcPr>
            <w:tcW w:w="2025"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奶牛粪污利用量</w:t>
            </w:r>
          </w:p>
        </w:tc>
        <w:tc>
          <w:tcPr>
            <w:tcW w:w="1845"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肉牛粪污利用量</w:t>
            </w:r>
          </w:p>
        </w:tc>
        <w:tc>
          <w:tcPr>
            <w:tcW w:w="1830"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山羊粪污利用量</w:t>
            </w:r>
          </w:p>
        </w:tc>
        <w:tc>
          <w:tcPr>
            <w:tcW w:w="1980"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生猪粪污利用量</w:t>
            </w:r>
          </w:p>
        </w:tc>
        <w:tc>
          <w:tcPr>
            <w:tcW w:w="1980" w:type="dxa"/>
            <w:gridSpan w:val="2"/>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合计粪污利用量</w:t>
            </w:r>
          </w:p>
        </w:tc>
        <w:tc>
          <w:tcPr>
            <w:tcW w:w="1050"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合计粪污</w:t>
            </w:r>
            <w:r>
              <w:rPr>
                <w:rFonts w:hint="eastAsia" w:ascii="Times New Roman" w:hAnsi="Times New Roman" w:cs="Times New Roman"/>
                <w:b/>
                <w:bCs/>
                <w:color w:val="auto"/>
                <w:kern w:val="0"/>
                <w:sz w:val="21"/>
                <w:szCs w:val="21"/>
              </w:rPr>
              <w:t>利用</w:t>
            </w:r>
            <w:r>
              <w:rPr>
                <w:rFonts w:ascii="Times New Roman" w:hAnsi="Times New Roman" w:cs="Times New Roman"/>
                <w:b/>
                <w:bCs/>
                <w:color w:val="auto"/>
                <w:kern w:val="0"/>
                <w:sz w:val="21"/>
                <w:szCs w:val="21"/>
              </w:rPr>
              <w:t>总量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粪便</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污水</w:t>
            </w:r>
          </w:p>
        </w:tc>
        <w:tc>
          <w:tcPr>
            <w:tcW w:w="1050"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文昌街道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3123</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14297</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6372</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5401</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2691</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199</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281</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2762</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4559</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25782</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13903</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39685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归德街道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4747</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1153</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8132</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4086</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4532</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2340</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18761</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31225</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37325</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37651</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74976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平安街道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2032</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1480</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15885</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8022</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5620</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2826</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140</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907</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1532</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26024</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12520</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38544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张夏街道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3602</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7273</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3178</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1652</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157</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220</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708</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1191</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14918</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3063</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17981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马山镇</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6178</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245</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985</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502</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11914</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19851</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19322</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20353</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39675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孝里街道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4416</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7179</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2643</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1315</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79</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111</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3121</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5056</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17438</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6482</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23920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万德街道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6968</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1935</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3971</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1997</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3183</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5195</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16057</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7192</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23249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五峰山街道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1972</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2120</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3511</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4092</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3511</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7603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双泉镇</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254</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657</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324</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273</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378</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1021</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1667</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2205</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2369</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4574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崮云湖街道</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1622</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376</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626</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1998</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626</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47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总计</w:t>
            </w:r>
          </w:p>
        </w:tc>
        <w:tc>
          <w:tcPr>
            <w:tcW w:w="9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31320</w:t>
            </w:r>
          </w:p>
        </w:tc>
        <w:tc>
          <w:tcPr>
            <w:tcW w:w="7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22859</w:t>
            </w:r>
          </w:p>
        </w:tc>
        <w:tc>
          <w:tcPr>
            <w:tcW w:w="8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41492</w:t>
            </w:r>
          </w:p>
        </w:tc>
        <w:tc>
          <w:tcPr>
            <w:tcW w:w="108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20132</w:t>
            </w:r>
          </w:p>
        </w:tc>
        <w:tc>
          <w:tcPr>
            <w:tcW w:w="9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23809</w:t>
            </w:r>
          </w:p>
        </w:tc>
        <w:tc>
          <w:tcPr>
            <w:tcW w:w="8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11995</w:t>
            </w:r>
          </w:p>
        </w:tc>
        <w:tc>
          <w:tcPr>
            <w:tcW w:w="85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808</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1130</w:t>
            </w:r>
          </w:p>
        </w:tc>
        <w:tc>
          <w:tcPr>
            <w:tcW w:w="9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44873</w:t>
            </w:r>
          </w:p>
        </w:tc>
        <w:tc>
          <w:tcPr>
            <w:tcW w:w="10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74413</w:t>
            </w:r>
          </w:p>
        </w:tc>
        <w:tc>
          <w:tcPr>
            <w:tcW w:w="10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165161</w:t>
            </w:r>
          </w:p>
        </w:tc>
        <w:tc>
          <w:tcPr>
            <w:tcW w:w="9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107670</w:t>
            </w:r>
          </w:p>
        </w:tc>
        <w:tc>
          <w:tcPr>
            <w:tcW w:w="10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272831</w:t>
            </w:r>
          </w:p>
        </w:tc>
      </w:tr>
    </w:tbl>
    <w:p>
      <w:pPr>
        <w:adjustRightInd/>
        <w:ind w:firstLine="0" w:firstLineChars="0"/>
        <w:jc w:val="center"/>
        <w:rPr>
          <w:rFonts w:ascii="Times New Roman" w:hAnsi="Times New Roman" w:cs="Times New Roman"/>
          <w:b/>
          <w:bCs/>
          <w:color w:val="auto"/>
          <w:sz w:val="24"/>
          <w:szCs w:val="21"/>
        </w:rPr>
        <w:sectPr>
          <w:pgSz w:w="16838" w:h="11906" w:orient="landscape"/>
          <w:pgMar w:top="1800" w:right="1440" w:bottom="1800" w:left="1440" w:header="851" w:footer="992" w:gutter="0"/>
          <w:cols w:space="425" w:num="1"/>
          <w:docGrid w:type="lines" w:linePitch="312" w:charSpace="0"/>
        </w:sectPr>
      </w:pPr>
    </w:p>
    <w:p>
      <w:pPr>
        <w:pStyle w:val="5"/>
        <w:keepNext w:val="0"/>
        <w:keepLines w:val="0"/>
        <w:widowControl w:val="0"/>
        <w:spacing w:beforeLines="0" w:afterLines="0" w:line="570" w:lineRule="exact"/>
        <w:ind w:firstLine="643" w:firstLineChars="200"/>
        <w:jc w:val="both"/>
        <w:rPr>
          <w:color w:val="auto"/>
          <w:sz w:val="32"/>
          <w:szCs w:val="32"/>
        </w:rPr>
      </w:pPr>
      <w:r>
        <w:rPr>
          <w:color w:val="auto"/>
          <w:sz w:val="32"/>
          <w:szCs w:val="32"/>
        </w:rPr>
        <w:t>2.4.2.2粪污清理及处理情况</w:t>
      </w:r>
    </w:p>
    <w:p>
      <w:pPr>
        <w:widowControl w:val="0"/>
        <w:adjustRightInd/>
        <w:spacing w:line="570" w:lineRule="exact"/>
        <w:ind w:firstLine="643"/>
        <w:jc w:val="both"/>
        <w:rPr>
          <w:rFonts w:ascii="Times New Roman" w:hAnsi="Times New Roman" w:cs="Times New Roman"/>
          <w:b/>
          <w:bCs/>
          <w:color w:val="auto"/>
          <w:sz w:val="32"/>
          <w:szCs w:val="32"/>
        </w:rPr>
      </w:pPr>
      <w:r>
        <w:rPr>
          <w:rFonts w:ascii="Times New Roman" w:hAnsi="Times New Roman" w:cs="Times New Roman"/>
          <w:b/>
          <w:bCs/>
          <w:color w:val="auto"/>
          <w:sz w:val="32"/>
          <w:szCs w:val="32"/>
        </w:rPr>
        <w:t>1.清粪方式</w:t>
      </w:r>
    </w:p>
    <w:p>
      <w:pPr>
        <w:widowControl w:val="0"/>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长清区规模养殖场和</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采用的清粪方式有：干清粪、垫草垫料</w:t>
      </w:r>
      <w:r>
        <w:rPr>
          <w:rFonts w:hint="eastAsia" w:ascii="Times New Roman" w:hAnsi="Times New Roman" w:cs="Times New Roman"/>
          <w:color w:val="auto"/>
          <w:sz w:val="32"/>
          <w:szCs w:val="32"/>
        </w:rPr>
        <w:t>等</w:t>
      </w:r>
      <w:r>
        <w:rPr>
          <w:rFonts w:ascii="Times New Roman" w:hAnsi="Times New Roman" w:cs="Times New Roman"/>
          <w:color w:val="auto"/>
          <w:sz w:val="32"/>
          <w:szCs w:val="32"/>
        </w:rPr>
        <w:t>，主要为干清粪。干清粪方式，即采用人工或机械方式从畜禽舍地面收集全部或大部分的固体粪便，地面残余粪尿用少量水冲洗，从而使固体和液体废弃物分离的粪便清理方式</w:t>
      </w:r>
      <w:r>
        <w:rPr>
          <w:rFonts w:hint="eastAsia" w:ascii="Times New Roman" w:hAnsi="Times New Roman" w:cs="Times New Roman"/>
          <w:color w:val="auto"/>
          <w:sz w:val="32"/>
          <w:szCs w:val="32"/>
        </w:rPr>
        <w:t>；</w:t>
      </w:r>
      <w:r>
        <w:rPr>
          <w:rFonts w:ascii="Times New Roman" w:hAnsi="Times New Roman" w:cs="Times New Roman"/>
          <w:color w:val="auto"/>
          <w:sz w:val="32"/>
          <w:szCs w:val="32"/>
        </w:rPr>
        <w:t>垫料，即将粪污固液分离后，固体粪便经堆积发酵无害化处理后作为卧床垫料。</w:t>
      </w:r>
    </w:p>
    <w:p>
      <w:pPr>
        <w:widowControl w:val="0"/>
        <w:adjustRightInd/>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2021年，长清区52家畜禽规模养殖场中有49家采用干清粪（占比94.23%）、2家采用垫草垫料（占比3.85%）、1家采用尿泡粪（占比1.92%）。各畜禽种类清粪方式见表2.4-11。</w:t>
      </w:r>
    </w:p>
    <w:p>
      <w:pPr>
        <w:ind w:firstLine="0" w:firstLineChars="0"/>
        <w:jc w:val="center"/>
        <w:rPr>
          <w:b/>
          <w:color w:val="auto"/>
          <w:sz w:val="24"/>
        </w:rPr>
      </w:pPr>
      <w:r>
        <w:rPr>
          <w:rFonts w:hint="eastAsia"/>
          <w:b/>
          <w:color w:val="auto"/>
          <w:sz w:val="24"/>
        </w:rPr>
        <w:t>表</w:t>
      </w:r>
      <w:r>
        <w:rPr>
          <w:rFonts w:ascii="Times New Roman" w:hAnsi="Times New Roman" w:cs="Times New Roman"/>
          <w:b/>
          <w:color w:val="auto"/>
          <w:sz w:val="24"/>
        </w:rPr>
        <w:t>2.4-1</w:t>
      </w:r>
      <w:r>
        <w:rPr>
          <w:rFonts w:hint="eastAsia" w:ascii="Times New Roman" w:hAnsi="Times New Roman" w:cs="Times New Roman"/>
          <w:b/>
          <w:color w:val="auto"/>
          <w:sz w:val="24"/>
        </w:rPr>
        <w:t>1  2021年</w:t>
      </w:r>
      <w:r>
        <w:rPr>
          <w:rFonts w:hint="eastAsia"/>
          <w:b/>
          <w:color w:val="auto"/>
          <w:sz w:val="24"/>
        </w:rPr>
        <w:t>各畜禽种类规模养殖场清粪方式汇总表</w:t>
      </w:r>
    </w:p>
    <w:tbl>
      <w:tblPr>
        <w:tblStyle w:val="29"/>
        <w:tblW w:w="4768" w:type="pct"/>
        <w:tblInd w:w="234"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2047"/>
        <w:gridCol w:w="2313"/>
        <w:gridCol w:w="2216"/>
        <w:gridCol w:w="206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vMerge w:val="restar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畜禽种类</w:t>
            </w:r>
          </w:p>
        </w:tc>
        <w:tc>
          <w:tcPr>
            <w:tcW w:w="3814" w:type="pct"/>
            <w:gridSpan w:val="3"/>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养殖场数量（家）</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338"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干清粪</w:t>
            </w:r>
          </w:p>
        </w:tc>
        <w:tc>
          <w:tcPr>
            <w:tcW w:w="1282"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垫草垫料</w:t>
            </w:r>
          </w:p>
        </w:tc>
        <w:tc>
          <w:tcPr>
            <w:tcW w:w="1194"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尿泡粪</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蛋鸡</w:t>
            </w:r>
          </w:p>
        </w:tc>
        <w:tc>
          <w:tcPr>
            <w:tcW w:w="1338"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w:t>
            </w:r>
          </w:p>
        </w:tc>
        <w:tc>
          <w:tcPr>
            <w:tcW w:w="1282"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c>
          <w:tcPr>
            <w:tcW w:w="1194"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奶牛</w:t>
            </w:r>
          </w:p>
        </w:tc>
        <w:tc>
          <w:tcPr>
            <w:tcW w:w="1338"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w:t>
            </w:r>
          </w:p>
        </w:tc>
        <w:tc>
          <w:tcPr>
            <w:tcW w:w="1282"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1194"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肉鸡</w:t>
            </w:r>
          </w:p>
        </w:tc>
        <w:tc>
          <w:tcPr>
            <w:tcW w:w="1338"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w:t>
            </w:r>
          </w:p>
        </w:tc>
        <w:tc>
          <w:tcPr>
            <w:tcW w:w="1282"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1194"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肉牛</w:t>
            </w:r>
          </w:p>
        </w:tc>
        <w:tc>
          <w:tcPr>
            <w:tcW w:w="1338"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w:t>
            </w:r>
          </w:p>
        </w:tc>
        <w:tc>
          <w:tcPr>
            <w:tcW w:w="1282"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c>
          <w:tcPr>
            <w:tcW w:w="1194"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肉鸭</w:t>
            </w:r>
          </w:p>
        </w:tc>
        <w:tc>
          <w:tcPr>
            <w:tcW w:w="1338"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1282"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c>
          <w:tcPr>
            <w:tcW w:w="1194"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生猪</w:t>
            </w:r>
          </w:p>
        </w:tc>
        <w:tc>
          <w:tcPr>
            <w:tcW w:w="1338"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w:t>
            </w:r>
          </w:p>
        </w:tc>
        <w:tc>
          <w:tcPr>
            <w:tcW w:w="1282"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p>
        </w:tc>
        <w:tc>
          <w:tcPr>
            <w:tcW w:w="1194"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合计</w:t>
            </w:r>
          </w:p>
        </w:tc>
        <w:tc>
          <w:tcPr>
            <w:tcW w:w="1338"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49</w:t>
            </w:r>
          </w:p>
        </w:tc>
        <w:tc>
          <w:tcPr>
            <w:tcW w:w="1282"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w:t>
            </w:r>
          </w:p>
        </w:tc>
        <w:tc>
          <w:tcPr>
            <w:tcW w:w="1194"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85"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占比（%）</w:t>
            </w:r>
          </w:p>
        </w:tc>
        <w:tc>
          <w:tcPr>
            <w:tcW w:w="1338"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94.23</w:t>
            </w:r>
          </w:p>
        </w:tc>
        <w:tc>
          <w:tcPr>
            <w:tcW w:w="1282"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3.85</w:t>
            </w:r>
          </w:p>
        </w:tc>
        <w:tc>
          <w:tcPr>
            <w:tcW w:w="1194" w:type="pct"/>
            <w:tcBorders>
              <w:tl2br w:val="nil"/>
              <w:tr2bl w:val="nil"/>
            </w:tcBorders>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1.92</w:t>
            </w:r>
          </w:p>
        </w:tc>
      </w:tr>
    </w:tbl>
    <w:p>
      <w:pPr>
        <w:widowControl w:val="0"/>
        <w:spacing w:line="570" w:lineRule="exact"/>
        <w:ind w:firstLine="643"/>
        <w:jc w:val="both"/>
        <w:rPr>
          <w:rFonts w:ascii="Times New Roman" w:hAnsi="Times New Roman" w:cs="Times New Roman"/>
          <w:b/>
          <w:bCs/>
          <w:color w:val="auto"/>
          <w:sz w:val="32"/>
          <w:szCs w:val="32"/>
        </w:rPr>
      </w:pPr>
      <w:r>
        <w:rPr>
          <w:rFonts w:ascii="Times New Roman" w:hAnsi="Times New Roman" w:cs="Times New Roman"/>
          <w:b/>
          <w:bCs/>
          <w:color w:val="auto"/>
          <w:sz w:val="32"/>
          <w:szCs w:val="32"/>
        </w:rPr>
        <w:t>2.粪污处理主要模式及设施类型</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长清区养殖场和</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粪污处理采用的粪污处理综合利用方式</w:t>
      </w:r>
      <w:r>
        <w:rPr>
          <w:rFonts w:hint="eastAsia" w:ascii="Times New Roman" w:hAnsi="Times New Roman" w:cs="Times New Roman"/>
          <w:color w:val="auto"/>
          <w:sz w:val="32"/>
          <w:szCs w:val="32"/>
        </w:rPr>
        <w:t>以</w:t>
      </w:r>
      <w:r>
        <w:rPr>
          <w:rFonts w:ascii="Times New Roman" w:hAnsi="Times New Roman" w:cs="Times New Roman"/>
          <w:color w:val="auto"/>
          <w:sz w:val="32"/>
          <w:szCs w:val="32"/>
        </w:rPr>
        <w:t>堆肥还田</w:t>
      </w:r>
      <w:r>
        <w:rPr>
          <w:rFonts w:hint="eastAsia" w:ascii="Times New Roman" w:hAnsi="Times New Roman" w:cs="Times New Roman"/>
          <w:color w:val="auto"/>
          <w:sz w:val="32"/>
          <w:szCs w:val="32"/>
        </w:rPr>
        <w:t>为主，另有异位生物发酵处理、</w:t>
      </w:r>
      <w:r>
        <w:rPr>
          <w:rFonts w:ascii="Times New Roman" w:hAnsi="Times New Roman" w:cs="Times New Roman"/>
          <w:color w:val="auto"/>
          <w:sz w:val="32"/>
          <w:szCs w:val="32"/>
        </w:rPr>
        <w:t>沼气池</w:t>
      </w:r>
      <w:r>
        <w:rPr>
          <w:rFonts w:hint="eastAsia" w:ascii="Times New Roman" w:hAnsi="Times New Roman" w:cs="Times New Roman"/>
          <w:color w:val="auto"/>
          <w:sz w:val="32"/>
          <w:szCs w:val="32"/>
        </w:rPr>
        <w:t>厌氧</w:t>
      </w:r>
      <w:r>
        <w:rPr>
          <w:rFonts w:ascii="Times New Roman" w:hAnsi="Times New Roman" w:cs="Times New Roman"/>
          <w:color w:val="auto"/>
          <w:sz w:val="32"/>
          <w:szCs w:val="32"/>
        </w:rPr>
        <w:t>发酵</w:t>
      </w:r>
      <w:r>
        <w:rPr>
          <w:rFonts w:hint="eastAsia" w:ascii="Times New Roman" w:hAnsi="Times New Roman" w:cs="Times New Roman"/>
          <w:color w:val="auto"/>
          <w:sz w:val="32"/>
          <w:szCs w:val="32"/>
        </w:rPr>
        <w:t>处理等</w:t>
      </w:r>
      <w:r>
        <w:rPr>
          <w:rFonts w:ascii="Times New Roman" w:hAnsi="Times New Roman" w:cs="Times New Roman"/>
          <w:color w:val="auto"/>
          <w:sz w:val="32"/>
          <w:szCs w:val="32"/>
        </w:rPr>
        <w:t>。</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长清区规模化畜禽养殖场粪污治理设施包括发酵床、沼气池。规模化畜禽养殖场和</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配套有粪污存储设施，包括储粪场和污水池，但深度处理设施配套较少，主要采取堆积发酵处理还田的方式，</w:t>
      </w:r>
      <w:r>
        <w:rPr>
          <w:rFonts w:hint="eastAsia" w:ascii="Times New Roman" w:hAnsi="Times New Roman" w:cs="Times New Roman"/>
          <w:color w:val="auto"/>
          <w:sz w:val="32"/>
          <w:szCs w:val="32"/>
        </w:rPr>
        <w:t>部分</w:t>
      </w:r>
      <w:r>
        <w:rPr>
          <w:rFonts w:ascii="Times New Roman" w:hAnsi="Times New Roman" w:cs="Times New Roman"/>
          <w:color w:val="auto"/>
          <w:sz w:val="32"/>
          <w:szCs w:val="32"/>
        </w:rPr>
        <w:t>企业配套发酵床、沼气池、固液分离机、有机肥生产设备。</w:t>
      </w:r>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2.4.2.3臭气治理情况</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畜禽养殖场臭气来自粪便、污水、垫料、饲料等腐败分解，</w:t>
      </w:r>
      <w:r>
        <w:rPr>
          <w:rFonts w:hint="eastAsia" w:ascii="Times New Roman" w:hAnsi="Times New Roman" w:cs="Times New Roman"/>
          <w:color w:val="auto"/>
          <w:sz w:val="32"/>
          <w:szCs w:val="32"/>
        </w:rPr>
        <w:t>以及</w:t>
      </w:r>
      <w:r>
        <w:rPr>
          <w:rFonts w:ascii="Times New Roman" w:hAnsi="Times New Roman" w:cs="Times New Roman"/>
          <w:color w:val="auto"/>
          <w:sz w:val="32"/>
          <w:szCs w:val="32"/>
        </w:rPr>
        <w:t>粘附在</w:t>
      </w:r>
      <w:r>
        <w:rPr>
          <w:rFonts w:hint="eastAsia" w:ascii="Times New Roman" w:hAnsi="Times New Roman" w:cs="Times New Roman"/>
          <w:color w:val="auto"/>
          <w:sz w:val="32"/>
          <w:szCs w:val="32"/>
        </w:rPr>
        <w:t>畜禽</w:t>
      </w:r>
      <w:r>
        <w:rPr>
          <w:rFonts w:ascii="Times New Roman" w:hAnsi="Times New Roman" w:cs="Times New Roman"/>
          <w:color w:val="auto"/>
          <w:sz w:val="32"/>
          <w:szCs w:val="32"/>
        </w:rPr>
        <w:t>体表的污物等。臭气的成分因清粪方式、日粮组成、粪便和污水处理等不同而异，主要包括挥发性脂肪酸、酚类化合物</w:t>
      </w:r>
      <w:r>
        <w:rPr>
          <w:rFonts w:hint="eastAsia" w:ascii="Times New Roman" w:hAnsi="Times New Roman" w:cs="Times New Roman"/>
          <w:color w:val="auto"/>
          <w:sz w:val="32"/>
          <w:szCs w:val="32"/>
        </w:rPr>
        <w:t>等</w:t>
      </w:r>
      <w:r>
        <w:rPr>
          <w:rFonts w:ascii="Times New Roman" w:hAnsi="Times New Roman" w:cs="Times New Roman"/>
          <w:color w:val="auto"/>
          <w:sz w:val="32"/>
          <w:szCs w:val="32"/>
        </w:rPr>
        <w:t>有机成分，还包括氨气、硫化氢、甲烷、二氧化碳等无机成分</w:t>
      </w:r>
      <w:r>
        <w:rPr>
          <w:rFonts w:hint="eastAsia" w:ascii="Times New Roman" w:hAnsi="Times New Roman" w:cs="Times New Roman"/>
          <w:color w:val="auto"/>
          <w:sz w:val="32"/>
          <w:szCs w:val="32"/>
        </w:rPr>
        <w:t>，</w:t>
      </w:r>
      <w:r>
        <w:rPr>
          <w:rFonts w:ascii="Times New Roman" w:hAnsi="Times New Roman" w:cs="Times New Roman"/>
          <w:color w:val="auto"/>
          <w:sz w:val="32"/>
          <w:szCs w:val="32"/>
        </w:rPr>
        <w:t>其中对环境</w:t>
      </w:r>
      <w:r>
        <w:rPr>
          <w:rFonts w:hint="eastAsia" w:ascii="Times New Roman" w:hAnsi="Times New Roman" w:cs="Times New Roman"/>
          <w:color w:val="auto"/>
          <w:sz w:val="32"/>
          <w:szCs w:val="32"/>
        </w:rPr>
        <w:t>影响较</w:t>
      </w:r>
      <w:r>
        <w:rPr>
          <w:rFonts w:ascii="Times New Roman" w:hAnsi="Times New Roman" w:cs="Times New Roman"/>
          <w:color w:val="auto"/>
          <w:sz w:val="32"/>
          <w:szCs w:val="32"/>
        </w:rPr>
        <w:t>大的臭气物质是NH</w:t>
      </w:r>
      <w:r>
        <w:rPr>
          <w:rFonts w:ascii="Times New Roman" w:hAnsi="Times New Roman" w:cs="Times New Roman"/>
          <w:color w:val="auto"/>
          <w:sz w:val="32"/>
          <w:szCs w:val="32"/>
          <w:vertAlign w:val="subscript"/>
        </w:rPr>
        <w:t>3</w:t>
      </w:r>
      <w:r>
        <w:rPr>
          <w:rFonts w:ascii="Times New Roman" w:hAnsi="Times New Roman" w:cs="Times New Roman"/>
          <w:color w:val="auto"/>
          <w:sz w:val="32"/>
          <w:szCs w:val="32"/>
        </w:rPr>
        <w:t>和H</w:t>
      </w:r>
      <w:r>
        <w:rPr>
          <w:rFonts w:ascii="Times New Roman" w:hAnsi="Times New Roman" w:cs="Times New Roman"/>
          <w:color w:val="auto"/>
          <w:sz w:val="32"/>
          <w:szCs w:val="32"/>
          <w:vertAlign w:val="subscript"/>
        </w:rPr>
        <w:t>2</w:t>
      </w:r>
      <w:r>
        <w:rPr>
          <w:rFonts w:ascii="Times New Roman" w:hAnsi="Times New Roman" w:cs="Times New Roman"/>
          <w:color w:val="auto"/>
          <w:sz w:val="32"/>
          <w:szCs w:val="32"/>
        </w:rPr>
        <w:t>S。臭气产生的多少与粪便的水分含量和粪便堆积的厚度有关，粪便堆积的越厚，就会使臭气产生量越大。</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目前，长清区通过组织</w:t>
      </w:r>
      <w:r>
        <w:rPr>
          <w:rFonts w:hint="eastAsia"/>
          <w:bCs/>
          <w:color w:val="auto"/>
          <w:sz w:val="32"/>
          <w:szCs w:val="32"/>
        </w:rPr>
        <w:t>养殖场、专业户参加畜禽废弃物综合利用及除臭技术培训班，让养殖场户了解掌握科学除臭知识，使用除臭剂或加装除臭设施进行除臭。</w:t>
      </w:r>
      <w:r>
        <w:rPr>
          <w:rFonts w:ascii="Times New Roman" w:hAnsi="Times New Roman" w:cs="Times New Roman"/>
          <w:color w:val="auto"/>
          <w:sz w:val="32"/>
          <w:szCs w:val="32"/>
        </w:rPr>
        <w:t>大多数规模养殖场远离居民区</w:t>
      </w:r>
      <w:r>
        <w:rPr>
          <w:rFonts w:hint="eastAsia" w:ascii="Times New Roman" w:hAnsi="Times New Roman" w:cs="Times New Roman"/>
          <w:color w:val="auto"/>
          <w:sz w:val="32"/>
          <w:szCs w:val="32"/>
        </w:rPr>
        <w:t>，有一定的粪污处理设施，管理较规范，</w:t>
      </w:r>
      <w:r>
        <w:rPr>
          <w:rFonts w:ascii="Times New Roman" w:hAnsi="Times New Roman" w:cs="Times New Roman"/>
          <w:color w:val="auto"/>
          <w:sz w:val="32"/>
          <w:szCs w:val="32"/>
        </w:rPr>
        <w:t>畜禽粪便日产日清</w:t>
      </w:r>
      <w:r>
        <w:rPr>
          <w:rFonts w:hint="eastAsia" w:ascii="Times New Roman" w:hAnsi="Times New Roman" w:cs="Times New Roman"/>
          <w:color w:val="auto"/>
          <w:sz w:val="32"/>
          <w:szCs w:val="32"/>
        </w:rPr>
        <w:t>，</w:t>
      </w:r>
      <w:r>
        <w:rPr>
          <w:rFonts w:ascii="Times New Roman" w:hAnsi="Times New Roman" w:cs="Times New Roman"/>
          <w:color w:val="auto"/>
          <w:sz w:val="32"/>
          <w:szCs w:val="32"/>
        </w:rPr>
        <w:t>养殖场周围</w:t>
      </w:r>
      <w:r>
        <w:rPr>
          <w:rFonts w:hint="eastAsia" w:ascii="Times New Roman" w:hAnsi="Times New Roman" w:cs="Times New Roman"/>
          <w:color w:val="auto"/>
          <w:sz w:val="32"/>
          <w:szCs w:val="32"/>
        </w:rPr>
        <w:t>大多</w:t>
      </w:r>
      <w:r>
        <w:rPr>
          <w:rFonts w:ascii="Times New Roman" w:hAnsi="Times New Roman" w:cs="Times New Roman"/>
          <w:color w:val="auto"/>
          <w:sz w:val="32"/>
          <w:szCs w:val="32"/>
        </w:rPr>
        <w:t>种植树木，起到降低臭气的作用。</w:t>
      </w:r>
      <w:r>
        <w:rPr>
          <w:rFonts w:hint="eastAsia" w:ascii="Times New Roman" w:hAnsi="Times New Roman" w:cs="Times New Roman"/>
          <w:color w:val="auto"/>
          <w:sz w:val="32"/>
          <w:szCs w:val="32"/>
        </w:rPr>
        <w:t>部分</w:t>
      </w:r>
      <w:r>
        <w:rPr>
          <w:rFonts w:ascii="Times New Roman" w:hAnsi="Times New Roman" w:cs="Times New Roman"/>
          <w:color w:val="auto"/>
          <w:sz w:val="32"/>
          <w:szCs w:val="32"/>
        </w:rPr>
        <w:t>畜禽</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环保意识较差，对环保投入意愿不强，</w:t>
      </w:r>
      <w:r>
        <w:rPr>
          <w:rFonts w:hint="eastAsia" w:ascii="Times New Roman" w:hAnsi="Times New Roman" w:cs="Times New Roman"/>
          <w:color w:val="auto"/>
          <w:sz w:val="32"/>
          <w:szCs w:val="32"/>
        </w:rPr>
        <w:t>存在卫生差、储粪多</w:t>
      </w:r>
      <w:r>
        <w:rPr>
          <w:rFonts w:ascii="Times New Roman" w:hAnsi="Times New Roman" w:cs="Times New Roman"/>
          <w:color w:val="auto"/>
          <w:sz w:val="32"/>
          <w:szCs w:val="32"/>
        </w:rPr>
        <w:t>、粪便清运不及时</w:t>
      </w:r>
      <w:r>
        <w:rPr>
          <w:rFonts w:hint="eastAsia" w:ascii="Times New Roman" w:hAnsi="Times New Roman" w:cs="Times New Roman"/>
          <w:color w:val="auto"/>
          <w:sz w:val="32"/>
          <w:szCs w:val="32"/>
        </w:rPr>
        <w:t>等情况</w:t>
      </w:r>
      <w:r>
        <w:rPr>
          <w:rFonts w:ascii="Times New Roman" w:hAnsi="Times New Roman" w:cs="Times New Roman"/>
          <w:color w:val="auto"/>
          <w:sz w:val="32"/>
          <w:szCs w:val="32"/>
        </w:rPr>
        <w:t>，夏季臭气对周边居民</w:t>
      </w:r>
      <w:r>
        <w:rPr>
          <w:rFonts w:hint="eastAsia" w:ascii="Times New Roman" w:hAnsi="Times New Roman" w:cs="Times New Roman"/>
          <w:color w:val="auto"/>
          <w:sz w:val="32"/>
          <w:szCs w:val="32"/>
        </w:rPr>
        <w:t>有</w:t>
      </w:r>
      <w:r>
        <w:rPr>
          <w:rFonts w:ascii="Times New Roman" w:hAnsi="Times New Roman" w:cs="Times New Roman"/>
          <w:color w:val="auto"/>
          <w:sz w:val="32"/>
          <w:szCs w:val="32"/>
        </w:rPr>
        <w:t>一定影响。</w:t>
      </w:r>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2.4.2.4病死动物尸体处置情况</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根据《国家危险废物名录》(2021)，病死</w:t>
      </w:r>
      <w:r>
        <w:rPr>
          <w:rFonts w:hint="eastAsia" w:ascii="Times New Roman" w:hAnsi="Times New Roman" w:cs="Times New Roman"/>
          <w:color w:val="auto"/>
          <w:sz w:val="32"/>
          <w:szCs w:val="32"/>
        </w:rPr>
        <w:t>动物</w:t>
      </w:r>
      <w:r>
        <w:rPr>
          <w:rFonts w:ascii="Times New Roman" w:hAnsi="Times New Roman" w:cs="Times New Roman"/>
          <w:color w:val="auto"/>
          <w:sz w:val="32"/>
          <w:szCs w:val="32"/>
        </w:rPr>
        <w:t>尸体属于危险废物中感染性废物</w:t>
      </w:r>
      <w:r>
        <w:rPr>
          <w:rFonts w:hint="eastAsia" w:ascii="Times New Roman" w:hAnsi="Times New Roman" w:eastAsia="仿宋" w:cs="Times New Roman"/>
          <w:color w:val="auto"/>
          <w:sz w:val="32"/>
          <w:szCs w:val="32"/>
        </w:rPr>
        <w:t>（</w:t>
      </w:r>
      <w:r>
        <w:rPr>
          <w:rFonts w:ascii="Times New Roman" w:hAnsi="Times New Roman" w:cs="Times New Roman"/>
          <w:color w:val="auto"/>
          <w:sz w:val="32"/>
          <w:szCs w:val="32"/>
        </w:rPr>
        <w:t>废物类别为HW01，废物代码841-001-01</w:t>
      </w:r>
      <w:r>
        <w:rPr>
          <w:rFonts w:hint="eastAsia" w:ascii="Times New Roman" w:hAnsi="Times New Roman" w:eastAsia="仿宋" w:cs="Times New Roman"/>
          <w:color w:val="auto"/>
          <w:sz w:val="32"/>
          <w:szCs w:val="32"/>
        </w:rPr>
        <w:t>）</w:t>
      </w:r>
      <w:r>
        <w:rPr>
          <w:rFonts w:ascii="Times New Roman" w:hAnsi="Times New Roman" w:cs="Times New Roman"/>
          <w:color w:val="auto"/>
          <w:sz w:val="32"/>
          <w:szCs w:val="32"/>
        </w:rPr>
        <w:t>。病死动物尸体是重要的传染病污染源，对环境和人体健康以及动物饲养场本身的正常生产经营有严重的危害，不允许随地抛弃。</w:t>
      </w:r>
    </w:p>
    <w:p>
      <w:pPr>
        <w:widowControl w:val="0"/>
        <w:spacing w:line="58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目前，长清区通过建设病死动物无害化处理厂，彻底解决病死动物污染问题，实现了病死动物“专人收集、专车运输、及时处理、实时监管”的无害化处理长效机制。2021年全区无害化处理病死猪4.2282万头，牛205头，羊2只，家禽91.206吨，其他2.97175吨。</w:t>
      </w:r>
    </w:p>
    <w:p>
      <w:pPr>
        <w:pStyle w:val="5"/>
        <w:keepNext w:val="0"/>
        <w:keepLines w:val="0"/>
        <w:widowControl w:val="0"/>
        <w:spacing w:beforeLines="0" w:afterLines="0" w:line="580" w:lineRule="exact"/>
        <w:ind w:firstLine="643" w:firstLineChars="200"/>
        <w:jc w:val="both"/>
        <w:rPr>
          <w:color w:val="auto"/>
          <w:sz w:val="32"/>
          <w:szCs w:val="32"/>
        </w:rPr>
      </w:pPr>
      <w:r>
        <w:rPr>
          <w:color w:val="auto"/>
          <w:sz w:val="32"/>
          <w:szCs w:val="32"/>
        </w:rPr>
        <w:t>2.4.2.5禁养区划定及综合整治</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“十三五”期间，</w:t>
      </w:r>
      <w:r>
        <w:rPr>
          <w:rFonts w:hint="eastAsia" w:ascii="Times New Roman" w:hAnsi="Times New Roman" w:cs="Times New Roman"/>
          <w:color w:val="auto"/>
          <w:sz w:val="32"/>
          <w:szCs w:val="32"/>
        </w:rPr>
        <w:t>长清区</w:t>
      </w:r>
      <w:r>
        <w:rPr>
          <w:rFonts w:ascii="Times New Roman" w:hAnsi="Times New Roman" w:cs="Times New Roman"/>
          <w:color w:val="auto"/>
          <w:sz w:val="32"/>
          <w:szCs w:val="32"/>
        </w:rPr>
        <w:t>根据《水污染防治法》</w:t>
      </w:r>
      <w:r>
        <w:rPr>
          <w:rFonts w:hint="eastAsia" w:ascii="Times New Roman" w:hAnsi="Times New Roman" w:cs="Times New Roman"/>
          <w:color w:val="auto"/>
          <w:sz w:val="32"/>
          <w:szCs w:val="32"/>
        </w:rPr>
        <w:t>、</w:t>
      </w:r>
      <w:r>
        <w:rPr>
          <w:rFonts w:ascii="Times New Roman" w:hAnsi="Times New Roman" w:cs="Times New Roman"/>
          <w:color w:val="auto"/>
          <w:sz w:val="32"/>
          <w:szCs w:val="32"/>
        </w:rPr>
        <w:t>《畜禽规模养殖污染防治条例》</w:t>
      </w:r>
      <w:r>
        <w:rPr>
          <w:rFonts w:hint="eastAsia" w:ascii="Times New Roman" w:hAnsi="Times New Roman" w:cs="Times New Roman"/>
          <w:color w:val="auto"/>
          <w:sz w:val="32"/>
          <w:szCs w:val="32"/>
        </w:rPr>
        <w:t>、</w:t>
      </w:r>
      <w:r>
        <w:rPr>
          <w:rFonts w:ascii="Times New Roman" w:hAnsi="Times New Roman" w:cs="Times New Roman"/>
          <w:color w:val="auto"/>
          <w:sz w:val="32"/>
          <w:szCs w:val="32"/>
        </w:rPr>
        <w:t>《山东省畜禽养殖管理办法》和《畜禽养殖禁养区划定技术指南》等法律法规规定，于2017年完成</w:t>
      </w:r>
      <w:r>
        <w:rPr>
          <w:rFonts w:hint="eastAsia" w:ascii="Times New Roman" w:hAnsi="Times New Roman" w:cs="Times New Roman"/>
          <w:color w:val="auto"/>
          <w:sz w:val="32"/>
          <w:szCs w:val="32"/>
        </w:rPr>
        <w:t>了</w:t>
      </w:r>
      <w:r>
        <w:rPr>
          <w:rFonts w:ascii="Times New Roman" w:hAnsi="Times New Roman" w:cs="Times New Roman"/>
          <w:color w:val="auto"/>
          <w:sz w:val="32"/>
          <w:szCs w:val="32"/>
        </w:rPr>
        <w:t>畜禽禁养区、限养区和适养区“三区”划定，同年完成禁养区内养殖场（小区）和养殖专业户的关闭搬迁工作，并通过</w:t>
      </w:r>
      <w:r>
        <w:rPr>
          <w:rFonts w:hint="eastAsia" w:ascii="Times New Roman" w:hAnsi="Times New Roman" w:cs="Times New Roman"/>
          <w:color w:val="auto"/>
          <w:sz w:val="32"/>
          <w:szCs w:val="32"/>
        </w:rPr>
        <w:t>市</w:t>
      </w:r>
      <w:r>
        <w:rPr>
          <w:rFonts w:ascii="Times New Roman" w:hAnsi="Times New Roman" w:cs="Times New Roman"/>
          <w:color w:val="auto"/>
          <w:sz w:val="32"/>
          <w:szCs w:val="32"/>
        </w:rPr>
        <w:t>级现场检查验收。于2019年完成对禁养区进一步优化调整</w:t>
      </w:r>
      <w:r>
        <w:rPr>
          <w:rFonts w:hint="eastAsia" w:ascii="Times New Roman" w:hAnsi="Times New Roman" w:cs="Times New Roman"/>
          <w:color w:val="auto"/>
          <w:sz w:val="32"/>
          <w:szCs w:val="32"/>
        </w:rPr>
        <w:t>，</w:t>
      </w:r>
      <w:r>
        <w:rPr>
          <w:rFonts w:ascii="Times New Roman" w:hAnsi="Times New Roman" w:cs="Times New Roman"/>
          <w:color w:val="auto"/>
          <w:sz w:val="32"/>
          <w:szCs w:val="32"/>
        </w:rPr>
        <w:t>根据</w:t>
      </w:r>
      <w:r>
        <w:rPr>
          <w:rFonts w:hint="eastAsia" w:ascii="Times New Roman" w:hAnsi="Times New Roman" w:cs="Times New Roman"/>
          <w:color w:val="auto"/>
          <w:sz w:val="32"/>
          <w:szCs w:val="32"/>
        </w:rPr>
        <w:t>《济南市长清区畜禽养殖禁养区优化调整方案》，</w:t>
      </w:r>
      <w:r>
        <w:rPr>
          <w:rFonts w:ascii="Times New Roman" w:hAnsi="Times New Roman" w:cs="Times New Roman"/>
          <w:color w:val="auto"/>
          <w:sz w:val="32"/>
          <w:szCs w:val="32"/>
        </w:rPr>
        <w:t>禁养区优化调整情况如下：</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（一）饮用水水源保护区。</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1.一水厂、二水厂、桥子李、冷庄、曹楼等生活饮用水水源保护区及饮用深水井周边200米范围内。</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2.各街镇、村居集中供给水水源保护区及饮用水深水井周边200米范围内。</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3.济平干渠（南水北调）长清段左岸围堰和右岸封闭区围网内。</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4.农村分散式饮用水水源地。</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（二）自然保护区。</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灵岩寺泰山省级自然保护区、张夏-崮山华北寒武</w:t>
      </w:r>
      <w:r>
        <w:rPr>
          <w:rFonts w:hint="eastAsia" w:ascii="Times New Roman" w:hAnsi="Times New Roman" w:cs="Times New Roman"/>
          <w:color w:val="auto"/>
          <w:sz w:val="32"/>
          <w:szCs w:val="32"/>
        </w:rPr>
        <w:t>系</w:t>
      </w:r>
      <w:r>
        <w:rPr>
          <w:rFonts w:ascii="Times New Roman" w:hAnsi="Times New Roman" w:cs="Times New Roman"/>
          <w:color w:val="auto"/>
          <w:sz w:val="32"/>
          <w:szCs w:val="32"/>
        </w:rPr>
        <w:t>省级地质遗迹自然保护区及大峰山市级自然保护区的的核心</w:t>
      </w:r>
      <w:r>
        <w:rPr>
          <w:rFonts w:hint="eastAsia" w:ascii="Times New Roman" w:hAnsi="Times New Roman" w:cs="Times New Roman"/>
          <w:color w:val="auto"/>
          <w:sz w:val="32"/>
          <w:szCs w:val="32"/>
        </w:rPr>
        <w:t>区</w:t>
      </w:r>
      <w:r>
        <w:rPr>
          <w:rFonts w:ascii="Times New Roman" w:hAnsi="Times New Roman" w:cs="Times New Roman"/>
          <w:color w:val="auto"/>
          <w:sz w:val="32"/>
          <w:szCs w:val="32"/>
        </w:rPr>
        <w:t>和</w:t>
      </w:r>
      <w:r>
        <w:rPr>
          <w:rFonts w:hint="eastAsia" w:ascii="Times New Roman" w:hAnsi="Times New Roman" w:cs="Times New Roman"/>
          <w:color w:val="auto"/>
          <w:sz w:val="32"/>
          <w:szCs w:val="32"/>
        </w:rPr>
        <w:t>一般控制</w:t>
      </w:r>
      <w:r>
        <w:rPr>
          <w:rFonts w:ascii="Times New Roman" w:hAnsi="Times New Roman" w:cs="Times New Roman"/>
          <w:color w:val="auto"/>
          <w:sz w:val="32"/>
          <w:szCs w:val="32"/>
        </w:rPr>
        <w:t>区。</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（三）城镇居民区、文化教育科学研究区等人口集中区域。</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1.长清区城区建成区。</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2.各街镇驻地人口密集区外延200米以内区域。</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3.大学科技园区、学校、医院等公共场所外延200米以内区域。</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（四）法律法规规定的其他禁止建设养殖场的区域。</w:t>
      </w:r>
    </w:p>
    <w:p>
      <w:pPr>
        <w:widowControl w:val="0"/>
        <w:spacing w:line="580" w:lineRule="exact"/>
        <w:ind w:firstLine="640"/>
        <w:jc w:val="both"/>
        <w:rPr>
          <w:rFonts w:ascii="Times New Roman" w:hAnsi="Times New Roman" w:cs="Times New Roman"/>
          <w:color w:val="auto"/>
          <w:kern w:val="0"/>
          <w:sz w:val="32"/>
          <w:szCs w:val="32"/>
        </w:rPr>
      </w:pPr>
      <w:r>
        <w:rPr>
          <w:rFonts w:ascii="Times New Roman" w:hAnsi="Times New Roman" w:cs="Times New Roman"/>
          <w:color w:val="auto"/>
          <w:kern w:val="0"/>
          <w:sz w:val="32"/>
          <w:szCs w:val="32"/>
        </w:rPr>
        <w:t>根据《关于落实国家、省进一步规范畜禽养殖禁养区管理工作的紧急通知》，</w:t>
      </w:r>
      <w:r>
        <w:rPr>
          <w:rFonts w:ascii="Times New Roman" w:hAnsi="Times New Roman" w:cs="Times New Roman"/>
          <w:color w:val="auto"/>
          <w:sz w:val="32"/>
          <w:szCs w:val="32"/>
        </w:rPr>
        <w:t>长清区</w:t>
      </w:r>
      <w:r>
        <w:rPr>
          <w:rFonts w:ascii="Times New Roman" w:hAnsi="Times New Roman" w:cs="Times New Roman"/>
          <w:color w:val="auto"/>
          <w:kern w:val="0"/>
          <w:sz w:val="32"/>
          <w:szCs w:val="32"/>
        </w:rPr>
        <w:t>进一步优化调整畜禽养殖空间管控范围加强对禁养区内畜禽养殖场（户）的排查，严格按照调整后的禁养区范围加强监管，无新增或复养畜禽行为。合理利用畜禽粪污资源，有效遏制畜禽养殖业污染加重的趋势，促进长清区畜禽养殖业持续健康发展。</w:t>
      </w:r>
    </w:p>
    <w:p>
      <w:pPr>
        <w:pStyle w:val="5"/>
        <w:keepNext w:val="0"/>
        <w:keepLines w:val="0"/>
        <w:widowControl w:val="0"/>
        <w:spacing w:beforeLines="0" w:afterLines="0" w:line="580" w:lineRule="exact"/>
        <w:ind w:firstLine="643" w:firstLineChars="200"/>
        <w:jc w:val="both"/>
        <w:rPr>
          <w:color w:val="auto"/>
          <w:sz w:val="32"/>
          <w:szCs w:val="32"/>
        </w:rPr>
      </w:pPr>
      <w:bookmarkStart w:id="84" w:name="_Toc117837745"/>
      <w:bookmarkStart w:id="85" w:name="_Toc9675"/>
      <w:bookmarkStart w:id="86" w:name="_Toc112078502"/>
      <w:bookmarkStart w:id="87" w:name="_Toc117788571"/>
      <w:r>
        <w:rPr>
          <w:rFonts w:hint="eastAsia"/>
          <w:color w:val="auto"/>
          <w:sz w:val="32"/>
          <w:szCs w:val="32"/>
        </w:rPr>
        <w:t>2.4.3种养结合现状</w:t>
      </w:r>
      <w:bookmarkEnd w:id="84"/>
      <w:bookmarkEnd w:id="85"/>
      <w:bookmarkEnd w:id="86"/>
      <w:bookmarkEnd w:id="87"/>
    </w:p>
    <w:p>
      <w:pPr>
        <w:pStyle w:val="5"/>
        <w:keepNext w:val="0"/>
        <w:keepLines w:val="0"/>
        <w:widowControl w:val="0"/>
        <w:spacing w:beforeLines="0" w:afterLines="0" w:line="580" w:lineRule="exact"/>
        <w:ind w:firstLine="643" w:firstLineChars="200"/>
        <w:jc w:val="both"/>
        <w:rPr>
          <w:color w:val="auto"/>
          <w:sz w:val="32"/>
          <w:szCs w:val="32"/>
        </w:rPr>
      </w:pPr>
      <w:r>
        <w:rPr>
          <w:rFonts w:hint="eastAsia"/>
          <w:color w:val="auto"/>
          <w:sz w:val="32"/>
          <w:szCs w:val="32"/>
        </w:rPr>
        <w:t>2.4.3.1区域种植面积</w:t>
      </w:r>
    </w:p>
    <w:p>
      <w:pPr>
        <w:widowControl w:val="0"/>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全区农作物种植情况依据《长清区统计年鉴（2021年）》及第三次全国国土调查数据，长清区大田作物合计44551.75公顷、蔬菜合计6266.67公顷、园地合计18362.50公顷，经济作物合计8926.99公顷，林地41644.95公顷</w:t>
      </w:r>
      <w:r>
        <w:rPr>
          <w:rFonts w:hint="eastAsia" w:ascii="Times New Roman" w:hAnsi="Times New Roman" w:cs="Times New Roman"/>
          <w:color w:val="auto"/>
          <w:sz w:val="32"/>
          <w:szCs w:val="32"/>
        </w:rPr>
        <w:t>，详见表2.4-13~表2.4-16</w:t>
      </w:r>
      <w:r>
        <w:rPr>
          <w:rFonts w:ascii="Times New Roman" w:hAnsi="Times New Roman" w:cs="Times New Roman"/>
          <w:color w:val="auto"/>
          <w:sz w:val="32"/>
          <w:szCs w:val="32"/>
        </w:rPr>
        <w:t>。</w:t>
      </w:r>
    </w:p>
    <w:p>
      <w:pPr>
        <w:ind w:firstLine="0" w:firstLineChars="0"/>
        <w:jc w:val="center"/>
        <w:rPr>
          <w:rFonts w:hint="eastAsia" w:ascii="Times New Roman" w:hAnsi="Times New Roman" w:cs="Times New Roman"/>
          <w:b/>
          <w:bCs/>
          <w:color w:val="auto"/>
          <w:sz w:val="24"/>
          <w:szCs w:val="21"/>
        </w:rPr>
      </w:pPr>
    </w:p>
    <w:p>
      <w:pPr>
        <w:ind w:firstLine="0" w:firstLineChars="0"/>
        <w:jc w:val="center"/>
        <w:rPr>
          <w:rFonts w:ascii="Times New Roman" w:hAnsi="Times New Roman" w:cs="Times New Roman"/>
          <w:b/>
          <w:bCs/>
          <w:color w:val="auto"/>
          <w:sz w:val="24"/>
          <w:szCs w:val="21"/>
        </w:rPr>
      </w:pPr>
      <w:r>
        <w:rPr>
          <w:rFonts w:ascii="Times New Roman" w:hAnsi="Times New Roman" w:cs="Times New Roman"/>
          <w:b/>
          <w:bCs/>
          <w:color w:val="auto"/>
          <w:sz w:val="24"/>
          <w:szCs w:val="21"/>
        </w:rPr>
        <w:t>表2.4-1</w:t>
      </w:r>
      <w:r>
        <w:rPr>
          <w:rFonts w:hint="eastAsia" w:ascii="Times New Roman" w:hAnsi="Times New Roman" w:cs="Times New Roman"/>
          <w:b/>
          <w:bCs/>
          <w:color w:val="auto"/>
          <w:sz w:val="24"/>
          <w:szCs w:val="21"/>
        </w:rPr>
        <w:t>2</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长清区各</w:t>
      </w:r>
      <w:r>
        <w:rPr>
          <w:rFonts w:hint="eastAsia" w:ascii="Times New Roman" w:hAnsi="Times New Roman" w:cs="Times New Roman"/>
          <w:b/>
          <w:bCs/>
          <w:color w:val="auto"/>
          <w:sz w:val="24"/>
          <w:szCs w:val="21"/>
        </w:rPr>
        <w:t>镇街</w:t>
      </w:r>
      <w:r>
        <w:rPr>
          <w:rFonts w:ascii="Times New Roman" w:hAnsi="Times New Roman" w:cs="Times New Roman"/>
          <w:b/>
          <w:bCs/>
          <w:color w:val="auto"/>
          <w:sz w:val="24"/>
          <w:szCs w:val="21"/>
        </w:rPr>
        <w:t>土地面积（单位：公顷）</w:t>
      </w:r>
    </w:p>
    <w:tbl>
      <w:tblPr>
        <w:tblStyle w:val="30"/>
        <w:tblW w:w="87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086"/>
        <w:gridCol w:w="1264"/>
        <w:gridCol w:w="1175"/>
        <w:gridCol w:w="1140"/>
        <w:gridCol w:w="1335"/>
        <w:gridCol w:w="11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水田</w:t>
            </w:r>
            <w:r>
              <w:rPr>
                <w:rFonts w:ascii="Times New Roman" w:hAnsi="Times New Roman" w:cs="Times New Roman"/>
                <w:b/>
                <w:bCs/>
                <w:color w:val="auto"/>
                <w:kern w:val="0"/>
                <w:sz w:val="21"/>
                <w:szCs w:val="21"/>
              </w:rPr>
              <w:br w:type="textWrapping"/>
            </w:r>
            <w:r>
              <w:rPr>
                <w:rFonts w:ascii="Times New Roman" w:hAnsi="Times New Roman" w:cs="Times New Roman"/>
                <w:b/>
                <w:bCs/>
                <w:color w:val="auto"/>
                <w:kern w:val="0"/>
                <w:sz w:val="21"/>
                <w:szCs w:val="21"/>
              </w:rPr>
              <w:t>（0101）</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水浇地</w:t>
            </w:r>
            <w:r>
              <w:rPr>
                <w:rFonts w:ascii="Times New Roman" w:hAnsi="Times New Roman" w:cs="Times New Roman"/>
                <w:b/>
                <w:bCs/>
                <w:color w:val="auto"/>
                <w:kern w:val="0"/>
                <w:sz w:val="21"/>
                <w:szCs w:val="21"/>
              </w:rPr>
              <w:br w:type="textWrapping"/>
            </w:r>
            <w:r>
              <w:rPr>
                <w:rFonts w:ascii="Times New Roman" w:hAnsi="Times New Roman" w:cs="Times New Roman"/>
                <w:b/>
                <w:bCs/>
                <w:color w:val="auto"/>
                <w:kern w:val="0"/>
                <w:sz w:val="21"/>
                <w:szCs w:val="21"/>
              </w:rPr>
              <w:t>（0102）</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旱地</w:t>
            </w:r>
            <w:r>
              <w:rPr>
                <w:rFonts w:ascii="Times New Roman" w:hAnsi="Times New Roman" w:cs="Times New Roman"/>
                <w:b/>
                <w:bCs/>
                <w:color w:val="auto"/>
                <w:kern w:val="0"/>
                <w:sz w:val="21"/>
                <w:szCs w:val="21"/>
              </w:rPr>
              <w:br w:type="textWrapping"/>
            </w:r>
            <w:r>
              <w:rPr>
                <w:rFonts w:ascii="Times New Roman" w:hAnsi="Times New Roman" w:cs="Times New Roman"/>
                <w:b/>
                <w:bCs/>
                <w:color w:val="auto"/>
                <w:kern w:val="0"/>
                <w:sz w:val="21"/>
                <w:szCs w:val="21"/>
              </w:rPr>
              <w:t>（0103）</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果园</w:t>
            </w:r>
            <w:r>
              <w:rPr>
                <w:rFonts w:ascii="Times New Roman" w:hAnsi="Times New Roman" w:cs="Times New Roman"/>
                <w:b/>
                <w:bCs/>
                <w:color w:val="auto"/>
                <w:kern w:val="0"/>
                <w:sz w:val="21"/>
                <w:szCs w:val="21"/>
              </w:rPr>
              <w:br w:type="textWrapping"/>
            </w:r>
            <w:r>
              <w:rPr>
                <w:rFonts w:ascii="Times New Roman" w:hAnsi="Times New Roman" w:cs="Times New Roman"/>
                <w:b/>
                <w:bCs/>
                <w:color w:val="auto"/>
                <w:kern w:val="0"/>
                <w:sz w:val="21"/>
                <w:szCs w:val="21"/>
              </w:rPr>
              <w:t>（0201）</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其他园地</w:t>
            </w:r>
            <w:r>
              <w:rPr>
                <w:rFonts w:ascii="Times New Roman" w:hAnsi="Times New Roman" w:cs="Times New Roman"/>
                <w:b/>
                <w:bCs/>
                <w:color w:val="auto"/>
                <w:kern w:val="0"/>
                <w:sz w:val="21"/>
                <w:szCs w:val="21"/>
              </w:rPr>
              <w:br w:type="textWrapping"/>
            </w:r>
            <w:r>
              <w:rPr>
                <w:rFonts w:ascii="Times New Roman" w:hAnsi="Times New Roman" w:cs="Times New Roman"/>
                <w:b/>
                <w:bCs/>
                <w:color w:val="auto"/>
                <w:kern w:val="0"/>
                <w:sz w:val="21"/>
                <w:szCs w:val="21"/>
              </w:rPr>
              <w:t>（0204）</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0.86</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2336.57</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143.32</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493.79</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114.45</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2898.47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0.43</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6049.92</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1772.0</w:t>
            </w:r>
            <w:r>
              <w:rPr>
                <w:rFonts w:hint="eastAsia" w:ascii="Times New Roman" w:hAnsi="Times New Roman" w:cs="Times New Roman"/>
                <w:color w:val="auto"/>
                <w:kern w:val="0"/>
                <w:sz w:val="21"/>
                <w:szCs w:val="21"/>
              </w:rPr>
              <w:t>8</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146.5</w:t>
            </w:r>
            <w:r>
              <w:rPr>
                <w:rFonts w:hint="eastAsia" w:ascii="Times New Roman" w:hAnsi="Times New Roman" w:cs="Times New Roman"/>
                <w:color w:val="auto"/>
                <w:kern w:val="0"/>
                <w:sz w:val="21"/>
                <w:szCs w:val="21"/>
              </w:rPr>
              <w:t>6</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22.33</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2634.25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3.98</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1678.27</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4.11</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615.95</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186.89</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2344.51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195.08</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1377.84</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3442.30</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188.12</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5378.80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560.12</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2042.83</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1114.49</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133.64</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3245.98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74.44</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4231.81</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1264.13</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896.08</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102.59</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3711.19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382.04</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1846.76</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2064.82</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177.62</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10727.64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603.55</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1757.07</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1780.89</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125.91</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3203.79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0.36</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471.36</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3366.98</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4777.12</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325.39</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3768.56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215.08</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248.25</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1420.11</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172.67</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3731.76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总计</w:t>
            </w:r>
          </w:p>
        </w:tc>
        <w:tc>
          <w:tcPr>
            <w:tcW w:w="108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80.07</w:t>
            </w:r>
          </w:p>
        </w:tc>
        <w:tc>
          <w:tcPr>
            <w:tcW w:w="126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16723.80</w:t>
            </w:r>
          </w:p>
        </w:tc>
        <w:tc>
          <w:tcPr>
            <w:tcW w:w="11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13823.37</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16752.11</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1549.61</w:t>
            </w:r>
          </w:p>
        </w:tc>
        <w:tc>
          <w:tcPr>
            <w:tcW w:w="11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41644.95</w:t>
            </w:r>
          </w:p>
        </w:tc>
      </w:tr>
    </w:tbl>
    <w:p>
      <w:pPr>
        <w:ind w:firstLine="0" w:firstLineChars="0"/>
        <w:jc w:val="center"/>
        <w:rPr>
          <w:rFonts w:ascii="Times New Roman" w:hAnsi="Times New Roman" w:eastAsia="仿宋" w:cs="Times New Roman"/>
          <w:b/>
          <w:bCs/>
          <w:color w:val="auto"/>
        </w:rPr>
        <w:sectPr>
          <w:footerReference r:id="rId15" w:type="default"/>
          <w:pgSz w:w="11906" w:h="16838"/>
          <w:pgMar w:top="1985" w:right="1531" w:bottom="1814" w:left="1531" w:header="851" w:footer="1304" w:gutter="0"/>
          <w:cols w:space="425" w:num="1"/>
          <w:docGrid w:type="lines" w:linePitch="381" w:charSpace="0"/>
        </w:sectPr>
      </w:pPr>
    </w:p>
    <w:p>
      <w:pPr>
        <w:ind w:firstLine="0" w:firstLineChars="0"/>
        <w:jc w:val="center"/>
        <w:rPr>
          <w:rFonts w:ascii="Times New Roman" w:hAnsi="Times New Roman" w:eastAsia="仿宋" w:cs="Times New Roman"/>
          <w:b/>
          <w:bCs/>
          <w:color w:val="auto"/>
        </w:rPr>
      </w:pPr>
      <w:r>
        <w:rPr>
          <w:rFonts w:ascii="Times New Roman" w:hAnsi="Times New Roman" w:cs="Times New Roman"/>
          <w:b/>
          <w:bCs/>
          <w:color w:val="auto"/>
          <w:sz w:val="24"/>
          <w:szCs w:val="21"/>
        </w:rPr>
        <w:t>表2.4-1</w:t>
      </w:r>
      <w:r>
        <w:rPr>
          <w:rFonts w:hint="eastAsia" w:ascii="Times New Roman" w:hAnsi="Times New Roman" w:cs="Times New Roman"/>
          <w:b/>
          <w:bCs/>
          <w:color w:val="auto"/>
          <w:sz w:val="24"/>
          <w:szCs w:val="21"/>
        </w:rPr>
        <w:t>3</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全区各</w:t>
      </w:r>
      <w:r>
        <w:rPr>
          <w:rFonts w:hint="eastAsia" w:ascii="Times New Roman" w:hAnsi="Times New Roman" w:cs="Times New Roman"/>
          <w:b/>
          <w:bCs/>
          <w:color w:val="auto"/>
          <w:sz w:val="24"/>
          <w:szCs w:val="21"/>
        </w:rPr>
        <w:t>镇街</w:t>
      </w:r>
      <w:r>
        <w:rPr>
          <w:rFonts w:ascii="Times New Roman" w:hAnsi="Times New Roman" w:cs="Times New Roman"/>
          <w:b/>
          <w:bCs/>
          <w:color w:val="auto"/>
          <w:sz w:val="24"/>
          <w:szCs w:val="21"/>
        </w:rPr>
        <w:t>大田作物种植情况（单位：公顷）</w:t>
      </w:r>
    </w:p>
    <w:tbl>
      <w:tblPr>
        <w:tblStyle w:val="30"/>
        <w:tblW w:w="14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40"/>
        <w:gridCol w:w="1474"/>
        <w:gridCol w:w="1245"/>
        <w:gridCol w:w="1314"/>
        <w:gridCol w:w="1185"/>
        <w:gridCol w:w="1245"/>
        <w:gridCol w:w="1305"/>
        <w:gridCol w:w="1530"/>
        <w:gridCol w:w="1275"/>
        <w:gridCol w:w="14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种类</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4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小麦</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1358.50</w:t>
            </w:r>
          </w:p>
        </w:tc>
        <w:tc>
          <w:tcPr>
            <w:tcW w:w="14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4283.68</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923.47</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861.35</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1425.41</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3050.43</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1220.52</w:t>
            </w:r>
          </w:p>
        </w:tc>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1292.71</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2102.13</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253.73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水稻</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1.76</w:t>
            </w:r>
          </w:p>
        </w:tc>
        <w:tc>
          <w:tcPr>
            <w:tcW w:w="14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5.53</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1.19</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1.84</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3.94</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1.58</w:t>
            </w:r>
          </w:p>
        </w:tc>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1.67</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2.72</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玉米</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1703.05</w:t>
            </w:r>
          </w:p>
        </w:tc>
        <w:tc>
          <w:tcPr>
            <w:tcW w:w="14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5370.15</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1157.70</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1079.82</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1786.94</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3824.11</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1530.08</w:t>
            </w:r>
          </w:p>
        </w:tc>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1620.58</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2635.30</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318.08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谷子</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289.93</w:t>
            </w:r>
          </w:p>
        </w:tc>
        <w:tc>
          <w:tcPr>
            <w:tcW w:w="14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914.22</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197.09</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183.83</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304.21</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651.02</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260.48</w:t>
            </w:r>
          </w:p>
        </w:tc>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275.89</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448.63</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54.15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大豆</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89.47</w:t>
            </w:r>
          </w:p>
        </w:tc>
        <w:tc>
          <w:tcPr>
            <w:tcW w:w="14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282.13</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60.82</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56.73</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93.88</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200.90</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80.38</w:t>
            </w:r>
          </w:p>
        </w:tc>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85.14</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138.45</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bottom"/>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棉花</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34.67</w:t>
            </w:r>
          </w:p>
        </w:tc>
        <w:tc>
          <w:tcPr>
            <w:tcW w:w="14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109.31</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23.57</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21.98</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36.37</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77.84</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31.15</w:t>
            </w:r>
          </w:p>
        </w:tc>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32.99</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53.64</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bottom"/>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薯类</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131.24</w:t>
            </w:r>
          </w:p>
        </w:tc>
        <w:tc>
          <w:tcPr>
            <w:tcW w:w="14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413.83</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89.21</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83.21</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137.70</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294.69</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117.91</w:t>
            </w:r>
          </w:p>
        </w:tc>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124.88</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203.08</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bottom"/>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3608.6</w:t>
            </w:r>
            <w:r>
              <w:rPr>
                <w:rFonts w:hint="eastAsia" w:ascii="Times New Roman" w:hAnsi="Times New Roman" w:cs="Times New Roman"/>
                <w:color w:val="auto"/>
                <w:kern w:val="0"/>
                <w:sz w:val="21"/>
                <w:szCs w:val="21"/>
              </w:rPr>
              <w:t>2</w:t>
            </w:r>
          </w:p>
        </w:tc>
        <w:tc>
          <w:tcPr>
            <w:tcW w:w="14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11378.85</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2453.05</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2288.03</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3786.3</w:t>
            </w:r>
            <w:r>
              <w:rPr>
                <w:rFonts w:hint="eastAsia" w:ascii="Times New Roman" w:hAnsi="Times New Roman" w:cs="Times New Roman"/>
                <w:color w:val="auto"/>
                <w:kern w:val="0"/>
                <w:sz w:val="21"/>
                <w:szCs w:val="21"/>
              </w:rPr>
              <w:t>5</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8102.93</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3242.10</w:t>
            </w:r>
          </w:p>
        </w:tc>
        <w:tc>
          <w:tcPr>
            <w:tcW w:w="15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3433.86</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5583.95</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673.98</w:t>
            </w:r>
          </w:p>
        </w:tc>
      </w:tr>
    </w:tbl>
    <w:p>
      <w:pPr>
        <w:ind w:firstLine="0" w:firstLineChars="0"/>
        <w:jc w:val="center"/>
        <w:rPr>
          <w:rFonts w:ascii="Times New Roman" w:hAnsi="Times New Roman" w:eastAsia="仿宋" w:cs="Times New Roman"/>
          <w:b/>
          <w:bCs/>
          <w:color w:val="auto"/>
        </w:rPr>
      </w:pPr>
      <w:r>
        <w:rPr>
          <w:rFonts w:ascii="Times New Roman" w:hAnsi="Times New Roman" w:cs="Times New Roman"/>
          <w:b/>
          <w:bCs/>
          <w:color w:val="auto"/>
          <w:sz w:val="24"/>
          <w:szCs w:val="21"/>
        </w:rPr>
        <w:t>表2.4-1</w:t>
      </w:r>
      <w:r>
        <w:rPr>
          <w:rFonts w:hint="eastAsia" w:ascii="Times New Roman" w:hAnsi="Times New Roman" w:cs="Times New Roman"/>
          <w:b/>
          <w:bCs/>
          <w:color w:val="auto"/>
          <w:sz w:val="24"/>
          <w:szCs w:val="21"/>
        </w:rPr>
        <w:t>4</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全区各</w:t>
      </w:r>
      <w:r>
        <w:rPr>
          <w:rFonts w:hint="eastAsia" w:ascii="Times New Roman" w:hAnsi="Times New Roman" w:cs="Times New Roman"/>
          <w:b/>
          <w:bCs/>
          <w:color w:val="auto"/>
          <w:sz w:val="24"/>
          <w:szCs w:val="21"/>
        </w:rPr>
        <w:t>镇街</w:t>
      </w:r>
      <w:r>
        <w:rPr>
          <w:rFonts w:ascii="Times New Roman" w:hAnsi="Times New Roman" w:cs="Times New Roman"/>
          <w:b/>
          <w:bCs/>
          <w:color w:val="auto"/>
          <w:sz w:val="24"/>
          <w:szCs w:val="21"/>
        </w:rPr>
        <w:t>蔬菜种植情况（单位：公顷）</w:t>
      </w:r>
    </w:p>
    <w:tbl>
      <w:tblPr>
        <w:tblStyle w:val="30"/>
        <w:tblW w:w="14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40"/>
        <w:gridCol w:w="1489"/>
        <w:gridCol w:w="1230"/>
        <w:gridCol w:w="1314"/>
        <w:gridCol w:w="1185"/>
        <w:gridCol w:w="1245"/>
        <w:gridCol w:w="1305"/>
        <w:gridCol w:w="1545"/>
        <w:gridCol w:w="1260"/>
        <w:gridCol w:w="14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种类</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2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黄瓜</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259.19</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817.30</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176.19</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164.34</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271.96</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582.01</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232.87</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246.64</w:t>
            </w:r>
          </w:p>
        </w:tc>
        <w:tc>
          <w:tcPr>
            <w:tcW w:w="12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401.08</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48.41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番茄</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12.42</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39.16</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8.44</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7.87</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13.03</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27.89</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11.16</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11.82</w:t>
            </w:r>
          </w:p>
        </w:tc>
        <w:tc>
          <w:tcPr>
            <w:tcW w:w="12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19.22</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青椒</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13.50</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42.57</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9.18</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8.56</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14.16</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30.31</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12.13</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12.85</w:t>
            </w:r>
          </w:p>
        </w:tc>
        <w:tc>
          <w:tcPr>
            <w:tcW w:w="12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20.89</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茄子</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29.70</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93.65</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20.19</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18.83</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31.16</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66.69</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26.68</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28.26</w:t>
            </w:r>
          </w:p>
        </w:tc>
        <w:tc>
          <w:tcPr>
            <w:tcW w:w="12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45.96</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大白菜</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165.24</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521.03</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112.32</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104.77</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173.38</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371.03</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148.45</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157.23</w:t>
            </w:r>
          </w:p>
        </w:tc>
        <w:tc>
          <w:tcPr>
            <w:tcW w:w="12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255.69</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萝卜</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16.74</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52.78</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11.38</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10.61</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17.56</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37.59</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15.04</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15.93</w:t>
            </w:r>
          </w:p>
        </w:tc>
        <w:tc>
          <w:tcPr>
            <w:tcW w:w="12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25.90</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大葱</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10.80</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34.05</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7.34</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6.85</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11.33</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24.25</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9.70</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10.28</w:t>
            </w:r>
          </w:p>
        </w:tc>
        <w:tc>
          <w:tcPr>
            <w:tcW w:w="12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16.71</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507.59</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1600.55</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345.0</w:t>
            </w:r>
            <w:r>
              <w:rPr>
                <w:rFonts w:hint="eastAsia" w:ascii="Times New Roman" w:hAnsi="Times New Roman" w:cs="Times New Roman"/>
                <w:color w:val="auto"/>
                <w:kern w:val="0"/>
                <w:sz w:val="21"/>
                <w:szCs w:val="21"/>
              </w:rPr>
              <w:t>4</w:t>
            </w:r>
          </w:p>
        </w:tc>
        <w:tc>
          <w:tcPr>
            <w:tcW w:w="13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321.8</w:t>
            </w:r>
            <w:r>
              <w:rPr>
                <w:rFonts w:hint="eastAsia" w:ascii="Times New Roman" w:hAnsi="Times New Roman" w:cs="Times New Roman"/>
                <w:color w:val="auto"/>
                <w:kern w:val="0"/>
                <w:sz w:val="21"/>
                <w:szCs w:val="21"/>
              </w:rPr>
              <w:t>3</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532.5</w:t>
            </w:r>
            <w:r>
              <w:rPr>
                <w:rFonts w:hint="eastAsia" w:ascii="Times New Roman" w:hAnsi="Times New Roman" w:cs="Times New Roman"/>
                <w:color w:val="auto"/>
                <w:kern w:val="0"/>
                <w:sz w:val="21"/>
                <w:szCs w:val="21"/>
              </w:rPr>
              <w:t>8</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1139.7</w:t>
            </w:r>
            <w:r>
              <w:rPr>
                <w:rFonts w:hint="eastAsia" w:ascii="Times New Roman" w:hAnsi="Times New Roman" w:cs="Times New Roman"/>
                <w:color w:val="auto"/>
                <w:kern w:val="0"/>
                <w:sz w:val="21"/>
                <w:szCs w:val="21"/>
              </w:rPr>
              <w:t>7</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456.0</w:t>
            </w:r>
            <w:r>
              <w:rPr>
                <w:rFonts w:hint="eastAsia" w:ascii="Times New Roman" w:hAnsi="Times New Roman" w:cs="Times New Roman"/>
                <w:color w:val="auto"/>
                <w:kern w:val="0"/>
                <w:sz w:val="21"/>
                <w:szCs w:val="21"/>
              </w:rPr>
              <w:t>3</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483.01</w:t>
            </w:r>
          </w:p>
        </w:tc>
        <w:tc>
          <w:tcPr>
            <w:tcW w:w="126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785.4</w:t>
            </w:r>
            <w:r>
              <w:rPr>
                <w:rFonts w:hint="eastAsia" w:ascii="Times New Roman" w:hAnsi="Times New Roman" w:cs="Times New Roman"/>
                <w:color w:val="auto"/>
                <w:kern w:val="0"/>
                <w:sz w:val="21"/>
                <w:szCs w:val="21"/>
              </w:rPr>
              <w:t>5</w:t>
            </w:r>
          </w:p>
        </w:tc>
        <w:tc>
          <w:tcPr>
            <w:tcW w:w="14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94.8</w:t>
            </w:r>
            <w:r>
              <w:rPr>
                <w:rFonts w:hint="eastAsia" w:ascii="Times New Roman" w:hAnsi="Times New Roman" w:cs="Times New Roman"/>
                <w:color w:val="auto"/>
                <w:kern w:val="0"/>
                <w:sz w:val="21"/>
                <w:szCs w:val="21"/>
              </w:rPr>
              <w:t>1</w:t>
            </w:r>
          </w:p>
        </w:tc>
      </w:tr>
    </w:tbl>
    <w:p>
      <w:pPr>
        <w:ind w:firstLine="0" w:firstLineChars="0"/>
        <w:jc w:val="center"/>
        <w:rPr>
          <w:rFonts w:ascii="Times New Roman" w:hAnsi="Times New Roman" w:cs="Times New Roman"/>
          <w:b/>
          <w:bCs/>
          <w:color w:val="auto"/>
          <w:sz w:val="24"/>
          <w:szCs w:val="21"/>
        </w:rPr>
      </w:pPr>
    </w:p>
    <w:p>
      <w:pPr>
        <w:ind w:firstLine="0" w:firstLineChars="0"/>
        <w:jc w:val="center"/>
        <w:rPr>
          <w:rFonts w:ascii="Times New Roman" w:hAnsi="Times New Roman" w:cs="Times New Roman"/>
          <w:b/>
          <w:bCs/>
          <w:color w:val="auto"/>
          <w:sz w:val="24"/>
          <w:szCs w:val="21"/>
        </w:rPr>
      </w:pPr>
      <w:r>
        <w:rPr>
          <w:rFonts w:ascii="Times New Roman" w:hAnsi="Times New Roman" w:cs="Times New Roman"/>
          <w:b/>
          <w:bCs/>
          <w:color w:val="auto"/>
          <w:sz w:val="24"/>
          <w:szCs w:val="21"/>
        </w:rPr>
        <w:t>表2.4-1</w:t>
      </w:r>
      <w:r>
        <w:rPr>
          <w:rFonts w:hint="eastAsia" w:ascii="Times New Roman" w:hAnsi="Times New Roman" w:cs="Times New Roman"/>
          <w:b/>
          <w:bCs/>
          <w:color w:val="auto"/>
          <w:sz w:val="24"/>
          <w:szCs w:val="21"/>
        </w:rPr>
        <w:t>5</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全区各</w:t>
      </w:r>
      <w:r>
        <w:rPr>
          <w:rFonts w:hint="eastAsia" w:ascii="Times New Roman" w:hAnsi="Times New Roman" w:cs="Times New Roman"/>
          <w:b/>
          <w:bCs/>
          <w:color w:val="auto"/>
          <w:sz w:val="24"/>
          <w:szCs w:val="21"/>
        </w:rPr>
        <w:t>镇街</w:t>
      </w:r>
      <w:r>
        <w:rPr>
          <w:rFonts w:ascii="Times New Roman" w:hAnsi="Times New Roman" w:cs="Times New Roman"/>
          <w:b/>
          <w:bCs/>
          <w:color w:val="auto"/>
          <w:sz w:val="24"/>
          <w:szCs w:val="21"/>
        </w:rPr>
        <w:t>果树种植情况（单位：公顷）</w:t>
      </w:r>
    </w:p>
    <w:tbl>
      <w:tblPr>
        <w:tblStyle w:val="30"/>
        <w:tblW w:w="14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40"/>
        <w:gridCol w:w="1487"/>
        <w:gridCol w:w="1245"/>
        <w:gridCol w:w="1305"/>
        <w:gridCol w:w="1187"/>
        <w:gridCol w:w="1245"/>
        <w:gridCol w:w="1320"/>
        <w:gridCol w:w="1545"/>
        <w:gridCol w:w="1230"/>
        <w:gridCol w:w="14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种类</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4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1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桃</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102.59</w:t>
            </w:r>
          </w:p>
        </w:tc>
        <w:tc>
          <w:tcPr>
            <w:tcW w:w="14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30.45</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127.97</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715.20</w:t>
            </w:r>
          </w:p>
        </w:tc>
        <w:tc>
          <w:tcPr>
            <w:tcW w:w="11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231.55</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186.18</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429.00</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370.01</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992.53</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295.05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葡萄</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31.73</w:t>
            </w:r>
          </w:p>
        </w:tc>
        <w:tc>
          <w:tcPr>
            <w:tcW w:w="14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9.42</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39.58</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221.19</w:t>
            </w:r>
          </w:p>
        </w:tc>
        <w:tc>
          <w:tcPr>
            <w:tcW w:w="11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71.61</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57.58</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132.68</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114.44</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306.97</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枣</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9.57</w:t>
            </w:r>
          </w:p>
        </w:tc>
        <w:tc>
          <w:tcPr>
            <w:tcW w:w="14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2.84</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11.94</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66.72</w:t>
            </w:r>
          </w:p>
        </w:tc>
        <w:tc>
          <w:tcPr>
            <w:tcW w:w="11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21.60</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17.37</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40.02</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34.52</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92.60</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苹果</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18.09</w:t>
            </w:r>
          </w:p>
        </w:tc>
        <w:tc>
          <w:tcPr>
            <w:tcW w:w="14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5.37</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22.56</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126.08</w:t>
            </w:r>
          </w:p>
        </w:tc>
        <w:tc>
          <w:tcPr>
            <w:tcW w:w="11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40.82</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32.82</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75.63</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65.23</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174.97</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梨</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8.76</w:t>
            </w:r>
          </w:p>
        </w:tc>
        <w:tc>
          <w:tcPr>
            <w:tcW w:w="14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2.60</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10.93</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61.06</w:t>
            </w:r>
          </w:p>
        </w:tc>
        <w:tc>
          <w:tcPr>
            <w:tcW w:w="11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19.77</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15.90</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36.63</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31.59</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84.74</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樱桃</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323.05</w:t>
            </w:r>
          </w:p>
        </w:tc>
        <w:tc>
          <w:tcPr>
            <w:tcW w:w="14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95.88</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402.97</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2252.04</w:t>
            </w:r>
          </w:p>
        </w:tc>
        <w:tc>
          <w:tcPr>
            <w:tcW w:w="11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729.12</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586.24</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1350.85</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1165.10</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3125.31</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929.07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493.79</w:t>
            </w:r>
          </w:p>
        </w:tc>
        <w:tc>
          <w:tcPr>
            <w:tcW w:w="14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146.5</w:t>
            </w:r>
            <w:r>
              <w:rPr>
                <w:rFonts w:hint="eastAsia" w:ascii="Times New Roman" w:hAnsi="Times New Roman" w:cs="Times New Roman"/>
                <w:color w:val="auto"/>
                <w:kern w:val="0"/>
                <w:sz w:val="21"/>
                <w:szCs w:val="21"/>
              </w:rPr>
              <w:t>6</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615.95</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3442.</w:t>
            </w:r>
            <w:r>
              <w:rPr>
                <w:rFonts w:hint="eastAsia" w:ascii="Times New Roman" w:hAnsi="Times New Roman" w:cs="Times New Roman"/>
                <w:color w:val="auto"/>
                <w:kern w:val="0"/>
                <w:sz w:val="21"/>
                <w:szCs w:val="21"/>
              </w:rPr>
              <w:t>29</w:t>
            </w:r>
          </w:p>
        </w:tc>
        <w:tc>
          <w:tcPr>
            <w:tcW w:w="118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1114.4</w:t>
            </w:r>
            <w:r>
              <w:rPr>
                <w:rFonts w:hint="eastAsia" w:ascii="Times New Roman" w:hAnsi="Times New Roman" w:cs="Times New Roman"/>
                <w:color w:val="auto"/>
                <w:kern w:val="0"/>
                <w:sz w:val="21"/>
                <w:szCs w:val="21"/>
              </w:rPr>
              <w:t>7</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896.0</w:t>
            </w:r>
            <w:r>
              <w:rPr>
                <w:rFonts w:hint="eastAsia" w:ascii="Times New Roman" w:hAnsi="Times New Roman" w:cs="Times New Roman"/>
                <w:color w:val="auto"/>
                <w:kern w:val="0"/>
                <w:sz w:val="21"/>
                <w:szCs w:val="21"/>
              </w:rPr>
              <w:t>9</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2064.81</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1780.89</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4777.12</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1420.1</w:t>
            </w:r>
            <w:r>
              <w:rPr>
                <w:rFonts w:hint="eastAsia" w:ascii="Times New Roman" w:hAnsi="Times New Roman" w:cs="Times New Roman"/>
                <w:color w:val="auto"/>
                <w:kern w:val="0"/>
                <w:sz w:val="21"/>
                <w:szCs w:val="21"/>
              </w:rPr>
              <w:t>0</w:t>
            </w:r>
          </w:p>
        </w:tc>
      </w:tr>
    </w:tbl>
    <w:p>
      <w:pPr>
        <w:ind w:firstLine="0" w:firstLineChars="0"/>
        <w:jc w:val="center"/>
        <w:rPr>
          <w:rFonts w:ascii="Times New Roman" w:hAnsi="Times New Roman" w:cs="Times New Roman"/>
          <w:b/>
          <w:bCs/>
          <w:color w:val="auto"/>
          <w:sz w:val="24"/>
          <w:szCs w:val="21"/>
        </w:rPr>
      </w:pPr>
      <w:r>
        <w:rPr>
          <w:rFonts w:ascii="Times New Roman" w:hAnsi="Times New Roman" w:cs="Times New Roman"/>
          <w:b/>
          <w:bCs/>
          <w:color w:val="auto"/>
          <w:sz w:val="24"/>
          <w:szCs w:val="21"/>
        </w:rPr>
        <w:t>表2.4-1</w:t>
      </w:r>
      <w:r>
        <w:rPr>
          <w:rFonts w:hint="eastAsia" w:ascii="Times New Roman" w:hAnsi="Times New Roman" w:cs="Times New Roman"/>
          <w:b/>
          <w:bCs/>
          <w:color w:val="auto"/>
          <w:sz w:val="24"/>
          <w:szCs w:val="21"/>
        </w:rPr>
        <w:t>6</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全区各</w:t>
      </w:r>
      <w:r>
        <w:rPr>
          <w:rFonts w:hint="eastAsia" w:ascii="Times New Roman" w:hAnsi="Times New Roman" w:cs="Times New Roman"/>
          <w:b/>
          <w:bCs/>
          <w:color w:val="auto"/>
          <w:sz w:val="24"/>
          <w:szCs w:val="21"/>
        </w:rPr>
        <w:t>镇街</w:t>
      </w:r>
      <w:r>
        <w:rPr>
          <w:rFonts w:ascii="Times New Roman" w:hAnsi="Times New Roman" w:cs="Times New Roman"/>
          <w:b/>
          <w:bCs/>
          <w:color w:val="auto"/>
          <w:sz w:val="24"/>
          <w:szCs w:val="21"/>
        </w:rPr>
        <w:t>经济作物种植情况（单位：公顷）</w:t>
      </w:r>
    </w:p>
    <w:tbl>
      <w:tblPr>
        <w:tblStyle w:val="30"/>
        <w:tblW w:w="14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40"/>
        <w:gridCol w:w="1489"/>
        <w:gridCol w:w="1245"/>
        <w:gridCol w:w="1305"/>
        <w:gridCol w:w="1185"/>
        <w:gridCol w:w="1245"/>
        <w:gridCol w:w="1320"/>
        <w:gridCol w:w="1545"/>
        <w:gridCol w:w="1230"/>
        <w:gridCol w:w="14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种类</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油料</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288.33</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909.17</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196.00</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182.81</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302.53</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647.42</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259.04</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274.36</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446.16</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茶叶</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60.93</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w:t>
            </w:r>
          </w:p>
        </w:tc>
        <w:tc>
          <w:tcPr>
            <w:tcW w:w="134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288.33</w:t>
            </w:r>
          </w:p>
        </w:tc>
        <w:tc>
          <w:tcPr>
            <w:tcW w:w="148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909.17</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196.00</w:t>
            </w:r>
          </w:p>
        </w:tc>
        <w:tc>
          <w:tcPr>
            <w:tcW w:w="13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182.81</w:t>
            </w:r>
          </w:p>
        </w:tc>
        <w:tc>
          <w:tcPr>
            <w:tcW w:w="11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302.53</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647.42</w:t>
            </w:r>
          </w:p>
        </w:tc>
        <w:tc>
          <w:tcPr>
            <w:tcW w:w="13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319.97</w:t>
            </w:r>
          </w:p>
        </w:tc>
        <w:tc>
          <w:tcPr>
            <w:tcW w:w="15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274.36</w:t>
            </w:r>
          </w:p>
        </w:tc>
        <w:tc>
          <w:tcPr>
            <w:tcW w:w="123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446.16</w:t>
            </w:r>
          </w:p>
        </w:tc>
        <w:tc>
          <w:tcPr>
            <w:tcW w:w="144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53.85</w:t>
            </w:r>
          </w:p>
        </w:tc>
      </w:tr>
    </w:tbl>
    <w:p>
      <w:pPr>
        <w:ind w:firstLine="0" w:firstLineChars="0"/>
        <w:jc w:val="both"/>
        <w:rPr>
          <w:rFonts w:ascii="Times New Roman" w:hAnsi="Times New Roman" w:eastAsia="仿宋" w:cs="Times New Roman"/>
          <w:b/>
          <w:bCs/>
          <w:color w:val="auto"/>
        </w:rPr>
      </w:pPr>
    </w:p>
    <w:p>
      <w:pPr>
        <w:ind w:firstLine="0" w:firstLineChars="0"/>
        <w:jc w:val="both"/>
        <w:rPr>
          <w:rFonts w:ascii="Times New Roman" w:hAnsi="Times New Roman" w:eastAsia="仿宋" w:cs="Times New Roman"/>
          <w:b/>
          <w:bCs/>
          <w:color w:val="auto"/>
        </w:rPr>
        <w:sectPr>
          <w:pgSz w:w="16838" w:h="11906" w:orient="landscape"/>
          <w:pgMar w:top="1519" w:right="1440" w:bottom="1519" w:left="1440" w:header="851" w:footer="992" w:gutter="0"/>
          <w:cols w:space="0" w:num="1"/>
          <w:docGrid w:type="lines" w:linePitch="312" w:charSpace="0"/>
        </w:sectPr>
      </w:pP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2.4.3.2粪污还田种养结合现状</w:t>
      </w:r>
    </w:p>
    <w:p>
      <w:pPr>
        <w:widowControl w:val="0"/>
        <w:spacing w:line="570" w:lineRule="exact"/>
        <w:ind w:firstLine="640"/>
        <w:jc w:val="both"/>
        <w:rPr>
          <w:rFonts w:ascii="Times New Roman" w:hAnsi="Times New Roman" w:cs="Times New Roman"/>
          <w:color w:val="auto"/>
          <w:sz w:val="32"/>
          <w:szCs w:val="32"/>
        </w:rPr>
      </w:pPr>
      <w:bookmarkStart w:id="88" w:name="_Toc5903"/>
      <w:bookmarkStart w:id="89" w:name="_Toc112078503"/>
      <w:bookmarkStart w:id="90" w:name="_Toc117837746"/>
      <w:bookmarkStart w:id="91" w:name="_Toc117788572"/>
      <w:r>
        <w:rPr>
          <w:rFonts w:hint="eastAsia" w:ascii="Times New Roman" w:hAnsi="Times New Roman" w:cs="Times New Roman"/>
          <w:color w:val="auto"/>
          <w:sz w:val="32"/>
          <w:szCs w:val="32"/>
        </w:rPr>
        <w:t>2021年，</w:t>
      </w:r>
      <w:r>
        <w:rPr>
          <w:rFonts w:ascii="Times New Roman" w:hAnsi="Times New Roman" w:cs="Times New Roman"/>
          <w:color w:val="auto"/>
          <w:sz w:val="32"/>
          <w:szCs w:val="32"/>
        </w:rPr>
        <w:t>长清区粪污利用配套</w:t>
      </w:r>
      <w:r>
        <w:rPr>
          <w:rFonts w:hint="eastAsia" w:ascii="Times New Roman" w:hAnsi="Times New Roman" w:cs="Times New Roman"/>
          <w:color w:val="auto"/>
          <w:sz w:val="32"/>
          <w:szCs w:val="32"/>
        </w:rPr>
        <w:t>土地</w:t>
      </w:r>
      <w:r>
        <w:rPr>
          <w:rFonts w:ascii="Times New Roman" w:hAnsi="Times New Roman" w:cs="Times New Roman"/>
          <w:color w:val="auto"/>
          <w:sz w:val="32"/>
          <w:szCs w:val="32"/>
        </w:rPr>
        <w:t>面积总计</w:t>
      </w:r>
      <w:r>
        <w:rPr>
          <w:rFonts w:hint="eastAsia" w:ascii="Times New Roman" w:hAnsi="Times New Roman" w:cs="Times New Roman"/>
          <w:color w:val="auto"/>
          <w:sz w:val="32"/>
          <w:szCs w:val="32"/>
        </w:rPr>
        <w:t>47457</w:t>
      </w:r>
      <w:r>
        <w:rPr>
          <w:rFonts w:ascii="Times New Roman" w:hAnsi="Times New Roman" w:cs="Times New Roman"/>
          <w:color w:val="auto"/>
          <w:sz w:val="32"/>
          <w:szCs w:val="32"/>
        </w:rPr>
        <w:t>亩。从</w:t>
      </w:r>
      <w:r>
        <w:rPr>
          <w:rFonts w:hint="eastAsia" w:ascii="Times New Roman" w:hAnsi="Times New Roman" w:cs="Times New Roman"/>
          <w:color w:val="auto"/>
          <w:sz w:val="32"/>
          <w:szCs w:val="32"/>
        </w:rPr>
        <w:t>镇街</w:t>
      </w:r>
      <w:r>
        <w:rPr>
          <w:rFonts w:ascii="Times New Roman" w:hAnsi="Times New Roman" w:cs="Times New Roman"/>
          <w:color w:val="auto"/>
          <w:sz w:val="32"/>
          <w:szCs w:val="32"/>
        </w:rPr>
        <w:t>分布来看，配套</w:t>
      </w:r>
      <w:r>
        <w:rPr>
          <w:rFonts w:hint="eastAsia" w:ascii="Times New Roman" w:hAnsi="Times New Roman" w:cs="Times New Roman"/>
          <w:color w:val="auto"/>
          <w:sz w:val="32"/>
          <w:szCs w:val="32"/>
        </w:rPr>
        <w:t>土地</w:t>
      </w:r>
      <w:r>
        <w:rPr>
          <w:rFonts w:ascii="Times New Roman" w:hAnsi="Times New Roman" w:cs="Times New Roman"/>
          <w:color w:val="auto"/>
          <w:sz w:val="32"/>
          <w:szCs w:val="32"/>
        </w:rPr>
        <w:t>面积分别为文昌街道</w:t>
      </w:r>
      <w:r>
        <w:rPr>
          <w:rFonts w:hint="eastAsia" w:ascii="Times New Roman" w:hAnsi="Times New Roman" w:cs="Times New Roman"/>
          <w:color w:val="auto"/>
          <w:sz w:val="32"/>
          <w:szCs w:val="32"/>
        </w:rPr>
        <w:t>2171</w:t>
      </w:r>
      <w:r>
        <w:rPr>
          <w:rFonts w:ascii="Times New Roman" w:hAnsi="Times New Roman" w:cs="Times New Roman"/>
          <w:color w:val="auto"/>
          <w:sz w:val="32"/>
          <w:szCs w:val="32"/>
        </w:rPr>
        <w:t>亩</w:t>
      </w:r>
      <w:r>
        <w:rPr>
          <w:rFonts w:hint="eastAsia" w:ascii="Times New Roman" w:hAnsi="Times New Roman" w:cs="Times New Roman"/>
          <w:color w:val="auto"/>
          <w:sz w:val="32"/>
          <w:szCs w:val="32"/>
        </w:rPr>
        <w:t>、</w:t>
      </w:r>
      <w:r>
        <w:rPr>
          <w:rFonts w:ascii="Times New Roman" w:hAnsi="Times New Roman" w:cs="Times New Roman"/>
          <w:color w:val="auto"/>
          <w:sz w:val="32"/>
          <w:szCs w:val="32"/>
        </w:rPr>
        <w:t>归德街道</w:t>
      </w:r>
      <w:r>
        <w:rPr>
          <w:rFonts w:hint="eastAsia" w:ascii="Times New Roman" w:hAnsi="Times New Roman" w:cs="Times New Roman"/>
          <w:color w:val="auto"/>
          <w:sz w:val="32"/>
          <w:szCs w:val="32"/>
        </w:rPr>
        <w:t>14594</w:t>
      </w:r>
      <w:r>
        <w:rPr>
          <w:rFonts w:ascii="Times New Roman" w:hAnsi="Times New Roman" w:cs="Times New Roman"/>
          <w:color w:val="auto"/>
          <w:sz w:val="32"/>
          <w:szCs w:val="32"/>
        </w:rPr>
        <w:t>亩</w:t>
      </w:r>
      <w:r>
        <w:rPr>
          <w:rFonts w:hint="eastAsia" w:ascii="Times New Roman" w:hAnsi="Times New Roman" w:cs="Times New Roman"/>
          <w:color w:val="auto"/>
          <w:sz w:val="32"/>
          <w:szCs w:val="32"/>
        </w:rPr>
        <w:t>、</w:t>
      </w:r>
      <w:r>
        <w:rPr>
          <w:rFonts w:ascii="Times New Roman" w:hAnsi="Times New Roman" w:cs="Times New Roman"/>
          <w:color w:val="auto"/>
          <w:sz w:val="32"/>
          <w:szCs w:val="32"/>
        </w:rPr>
        <w:t>张夏街道</w:t>
      </w:r>
      <w:r>
        <w:rPr>
          <w:rFonts w:hint="eastAsia" w:ascii="Times New Roman" w:hAnsi="Times New Roman" w:cs="Times New Roman"/>
          <w:color w:val="auto"/>
          <w:sz w:val="32"/>
          <w:szCs w:val="32"/>
        </w:rPr>
        <w:t>4890</w:t>
      </w:r>
      <w:r>
        <w:rPr>
          <w:rFonts w:ascii="Times New Roman" w:hAnsi="Times New Roman" w:cs="Times New Roman"/>
          <w:color w:val="auto"/>
          <w:sz w:val="32"/>
          <w:szCs w:val="32"/>
        </w:rPr>
        <w:t>亩</w:t>
      </w:r>
      <w:r>
        <w:rPr>
          <w:rFonts w:hint="eastAsia" w:ascii="Times New Roman" w:hAnsi="Times New Roman" w:cs="Times New Roman"/>
          <w:color w:val="auto"/>
          <w:sz w:val="32"/>
          <w:szCs w:val="32"/>
        </w:rPr>
        <w:t>、</w:t>
      </w:r>
      <w:r>
        <w:rPr>
          <w:rFonts w:ascii="Times New Roman" w:hAnsi="Times New Roman" w:cs="Times New Roman"/>
          <w:color w:val="auto"/>
          <w:sz w:val="32"/>
          <w:szCs w:val="32"/>
        </w:rPr>
        <w:t>马山镇</w:t>
      </w:r>
      <w:r>
        <w:rPr>
          <w:rFonts w:hint="eastAsia" w:ascii="Times New Roman" w:hAnsi="Times New Roman" w:cs="Times New Roman"/>
          <w:color w:val="auto"/>
          <w:sz w:val="32"/>
          <w:szCs w:val="32"/>
        </w:rPr>
        <w:t>6954</w:t>
      </w:r>
      <w:r>
        <w:rPr>
          <w:rFonts w:ascii="Times New Roman" w:hAnsi="Times New Roman" w:cs="Times New Roman"/>
          <w:color w:val="auto"/>
          <w:sz w:val="32"/>
          <w:szCs w:val="32"/>
        </w:rPr>
        <w:t>亩</w:t>
      </w:r>
      <w:r>
        <w:rPr>
          <w:rFonts w:hint="eastAsia" w:ascii="Times New Roman" w:hAnsi="Times New Roman" w:cs="Times New Roman"/>
          <w:color w:val="auto"/>
          <w:sz w:val="32"/>
          <w:szCs w:val="32"/>
        </w:rPr>
        <w:t>、</w:t>
      </w:r>
      <w:r>
        <w:rPr>
          <w:rFonts w:ascii="Times New Roman" w:hAnsi="Times New Roman" w:cs="Times New Roman"/>
          <w:color w:val="auto"/>
          <w:sz w:val="32"/>
          <w:szCs w:val="32"/>
        </w:rPr>
        <w:t>孝里街道</w:t>
      </w:r>
      <w:r>
        <w:rPr>
          <w:rFonts w:hint="eastAsia" w:ascii="Times New Roman" w:hAnsi="Times New Roman" w:cs="Times New Roman"/>
          <w:color w:val="auto"/>
          <w:sz w:val="32"/>
          <w:szCs w:val="32"/>
        </w:rPr>
        <w:t>4840</w:t>
      </w:r>
      <w:r>
        <w:rPr>
          <w:rFonts w:ascii="Times New Roman" w:hAnsi="Times New Roman" w:cs="Times New Roman"/>
          <w:color w:val="auto"/>
          <w:sz w:val="32"/>
          <w:szCs w:val="32"/>
        </w:rPr>
        <w:t>亩</w:t>
      </w:r>
      <w:r>
        <w:rPr>
          <w:rFonts w:hint="eastAsia" w:ascii="Times New Roman" w:hAnsi="Times New Roman" w:cs="Times New Roman"/>
          <w:color w:val="auto"/>
          <w:sz w:val="32"/>
          <w:szCs w:val="32"/>
        </w:rPr>
        <w:t>、</w:t>
      </w:r>
      <w:r>
        <w:rPr>
          <w:rFonts w:ascii="Times New Roman" w:hAnsi="Times New Roman" w:cs="Times New Roman"/>
          <w:color w:val="auto"/>
          <w:sz w:val="32"/>
          <w:szCs w:val="32"/>
        </w:rPr>
        <w:t>五峰山街道</w:t>
      </w:r>
      <w:r>
        <w:rPr>
          <w:rFonts w:hint="eastAsia" w:ascii="Times New Roman" w:hAnsi="Times New Roman" w:cs="Times New Roman"/>
          <w:color w:val="auto"/>
          <w:sz w:val="32"/>
          <w:szCs w:val="32"/>
        </w:rPr>
        <w:t>1812</w:t>
      </w:r>
      <w:r>
        <w:rPr>
          <w:rFonts w:ascii="Times New Roman" w:hAnsi="Times New Roman" w:cs="Times New Roman"/>
          <w:color w:val="auto"/>
          <w:sz w:val="32"/>
          <w:szCs w:val="32"/>
        </w:rPr>
        <w:t>亩</w:t>
      </w:r>
      <w:r>
        <w:rPr>
          <w:rFonts w:hint="eastAsia" w:ascii="Times New Roman" w:hAnsi="Times New Roman" w:cs="Times New Roman"/>
          <w:color w:val="auto"/>
          <w:sz w:val="32"/>
          <w:szCs w:val="32"/>
        </w:rPr>
        <w:t>、</w:t>
      </w:r>
      <w:r>
        <w:rPr>
          <w:rFonts w:ascii="Times New Roman" w:hAnsi="Times New Roman" w:cs="Times New Roman"/>
          <w:color w:val="auto"/>
          <w:sz w:val="32"/>
          <w:szCs w:val="32"/>
        </w:rPr>
        <w:t>崮云湖街道</w:t>
      </w:r>
      <w:r>
        <w:rPr>
          <w:rFonts w:hint="eastAsia" w:ascii="Times New Roman" w:hAnsi="Times New Roman" w:cs="Times New Roman"/>
          <w:color w:val="auto"/>
          <w:sz w:val="32"/>
          <w:szCs w:val="32"/>
        </w:rPr>
        <w:t>738</w:t>
      </w:r>
      <w:r>
        <w:rPr>
          <w:rFonts w:ascii="Times New Roman" w:hAnsi="Times New Roman" w:cs="Times New Roman"/>
          <w:color w:val="auto"/>
          <w:sz w:val="32"/>
          <w:szCs w:val="32"/>
        </w:rPr>
        <w:t>亩</w:t>
      </w:r>
      <w:r>
        <w:rPr>
          <w:rFonts w:hint="eastAsia" w:ascii="Times New Roman" w:hAnsi="Times New Roman" w:cs="Times New Roman"/>
          <w:color w:val="auto"/>
          <w:sz w:val="32"/>
          <w:szCs w:val="32"/>
        </w:rPr>
        <w:t>、双泉镇781亩、平安街道5490亩、万德街道5187亩</w:t>
      </w:r>
      <w:r>
        <w:rPr>
          <w:rFonts w:ascii="Times New Roman" w:hAnsi="Times New Roman" w:cs="Times New Roman"/>
          <w:color w:val="auto"/>
          <w:sz w:val="32"/>
          <w:szCs w:val="32"/>
        </w:rPr>
        <w:t>。</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2.4.4存在问题</w:t>
      </w:r>
      <w:bookmarkEnd w:id="88"/>
      <w:bookmarkEnd w:id="89"/>
      <w:bookmarkEnd w:id="90"/>
      <w:bookmarkEnd w:id="91"/>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根据</w:t>
      </w:r>
      <w:r>
        <w:rPr>
          <w:rFonts w:hint="eastAsia" w:ascii="Times New Roman" w:hAnsi="Times New Roman" w:cs="Times New Roman"/>
          <w:color w:val="auto"/>
          <w:sz w:val="32"/>
          <w:szCs w:val="32"/>
        </w:rPr>
        <w:t>长清区</w:t>
      </w:r>
      <w:r>
        <w:rPr>
          <w:rFonts w:ascii="Times New Roman" w:hAnsi="Times New Roman" w:cs="Times New Roman"/>
          <w:color w:val="auto"/>
          <w:sz w:val="32"/>
          <w:szCs w:val="32"/>
        </w:rPr>
        <w:t>畜禽养殖、</w:t>
      </w:r>
      <w:r>
        <w:rPr>
          <w:rFonts w:hint="eastAsia" w:ascii="Times New Roman" w:hAnsi="Times New Roman" w:cs="Times New Roman"/>
          <w:color w:val="auto"/>
          <w:sz w:val="32"/>
          <w:szCs w:val="32"/>
        </w:rPr>
        <w:t>土地</w:t>
      </w:r>
      <w:r>
        <w:rPr>
          <w:rFonts w:ascii="Times New Roman" w:hAnsi="Times New Roman" w:cs="Times New Roman"/>
          <w:color w:val="auto"/>
          <w:sz w:val="32"/>
          <w:szCs w:val="32"/>
        </w:rPr>
        <w:t>种植情况、种养结合及污染防治现状，养殖业污染防治及粪污资源化利用主要存</w:t>
      </w:r>
      <w:r>
        <w:rPr>
          <w:rFonts w:hint="eastAsia" w:ascii="Times New Roman" w:hAnsi="Times New Roman" w:cs="Times New Roman"/>
          <w:color w:val="auto"/>
          <w:sz w:val="32"/>
          <w:szCs w:val="32"/>
        </w:rPr>
        <w:t>在养殖规模化有待提高、粪污处理设施运维需加强、种养结合需推进方面问题。</w:t>
      </w:r>
    </w:p>
    <w:p>
      <w:pPr>
        <w:pStyle w:val="5"/>
        <w:keepNext w:val="0"/>
        <w:keepLines w:val="0"/>
        <w:widowControl w:val="0"/>
        <w:spacing w:beforeLines="0" w:afterLines="0" w:line="570" w:lineRule="exact"/>
        <w:ind w:firstLine="643" w:firstLineChars="200"/>
        <w:jc w:val="both"/>
        <w:rPr>
          <w:rFonts w:hint="eastAsia" w:ascii="仿宋_GB2312"/>
          <w:color w:val="auto"/>
          <w:sz w:val="32"/>
          <w:szCs w:val="32"/>
        </w:rPr>
      </w:pPr>
      <w:r>
        <w:rPr>
          <w:rFonts w:hint="eastAsia"/>
          <w:color w:val="auto"/>
          <w:sz w:val="32"/>
          <w:szCs w:val="32"/>
        </w:rPr>
        <w:t>2.4.4.1</w:t>
      </w:r>
      <w:r>
        <w:rPr>
          <w:rFonts w:hint="eastAsia" w:ascii="仿宋_GB2312" w:cs="FangSong_GB2312"/>
          <w:color w:val="auto"/>
          <w:sz w:val="32"/>
          <w:szCs w:val="32"/>
        </w:rPr>
        <w:t>养殖规模化、标准化工作难进展</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《山东省“十四五”畜禽养殖污染防治行动方案》（鲁环发〔2022〕16号）、</w:t>
      </w:r>
      <w:r>
        <w:rPr>
          <w:rFonts w:ascii="Times New Roman" w:hAnsi="Times New Roman" w:cs="Times New Roman"/>
          <w:color w:val="auto"/>
          <w:sz w:val="32"/>
          <w:szCs w:val="32"/>
        </w:rPr>
        <w:t>《济南市畜禽养殖污染防治规划》</w:t>
      </w:r>
      <w:r>
        <w:rPr>
          <w:rFonts w:hint="eastAsia" w:ascii="Times New Roman" w:hAnsi="Times New Roman" w:cs="Times New Roman"/>
          <w:color w:val="auto"/>
          <w:sz w:val="32"/>
          <w:szCs w:val="32"/>
        </w:rPr>
        <w:t>（2022-2025）简稿</w:t>
      </w:r>
      <w:r>
        <w:rPr>
          <w:rFonts w:ascii="Times New Roman" w:hAnsi="Times New Roman" w:cs="Times New Roman"/>
          <w:color w:val="auto"/>
          <w:sz w:val="32"/>
          <w:szCs w:val="32"/>
        </w:rPr>
        <w:t>指标体系</w:t>
      </w:r>
      <w:r>
        <w:rPr>
          <w:rFonts w:hint="eastAsia" w:ascii="Times New Roman" w:hAnsi="Times New Roman" w:cs="Times New Roman"/>
          <w:color w:val="auto"/>
          <w:sz w:val="32"/>
          <w:szCs w:val="32"/>
        </w:rPr>
        <w:t>提出，到2025年全市畜禽规模养殖比重达到市级下达指标要求</w:t>
      </w:r>
      <w:r>
        <w:rPr>
          <w:rFonts w:ascii="Times New Roman" w:hAnsi="Times New Roman" w:cs="Times New Roman"/>
          <w:color w:val="auto"/>
          <w:sz w:val="32"/>
          <w:szCs w:val="32"/>
        </w:rPr>
        <w:t>。</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根据</w:t>
      </w:r>
      <w:r>
        <w:rPr>
          <w:rFonts w:hint="eastAsia" w:ascii="Times New Roman" w:hAnsi="Times New Roman" w:cs="Times New Roman"/>
          <w:color w:val="auto"/>
          <w:sz w:val="32"/>
          <w:szCs w:val="32"/>
        </w:rPr>
        <w:t>统计</w:t>
      </w:r>
      <w:r>
        <w:rPr>
          <w:rFonts w:ascii="Times New Roman" w:hAnsi="Times New Roman" w:cs="Times New Roman"/>
          <w:color w:val="auto"/>
          <w:sz w:val="32"/>
          <w:szCs w:val="32"/>
        </w:rPr>
        <w:t>资料，</w:t>
      </w:r>
      <w:r>
        <w:rPr>
          <w:rFonts w:hint="eastAsia" w:ascii="Times New Roman" w:hAnsi="Times New Roman" w:cs="Times New Roman"/>
          <w:color w:val="auto"/>
          <w:sz w:val="32"/>
          <w:szCs w:val="32"/>
        </w:rPr>
        <w:t>2021年长清区有养殖场52家，全区畜禽养殖规模化养殖比重为68.62%，按养殖畜种</w:t>
      </w:r>
      <w:r>
        <w:rPr>
          <w:rFonts w:ascii="Times New Roman" w:hAnsi="Times New Roman" w:cs="Times New Roman"/>
          <w:color w:val="auto"/>
          <w:sz w:val="32"/>
          <w:szCs w:val="32"/>
        </w:rPr>
        <w:t>分析</w:t>
      </w:r>
      <w:r>
        <w:rPr>
          <w:rFonts w:hint="eastAsia" w:ascii="Times New Roman" w:hAnsi="Times New Roman" w:cs="Times New Roman"/>
          <w:color w:val="auto"/>
          <w:sz w:val="32"/>
          <w:szCs w:val="32"/>
        </w:rPr>
        <w:t>，</w:t>
      </w:r>
      <w:r>
        <w:rPr>
          <w:rFonts w:ascii="Times New Roman" w:hAnsi="Times New Roman" w:cs="Times New Roman"/>
          <w:color w:val="auto"/>
          <w:sz w:val="32"/>
          <w:szCs w:val="32"/>
        </w:rPr>
        <w:t>2021年长清区畜禽养殖</w:t>
      </w:r>
      <w:r>
        <w:rPr>
          <w:rFonts w:hint="eastAsia" w:ascii="Times New Roman" w:hAnsi="Times New Roman" w:cs="Times New Roman"/>
          <w:color w:val="auto"/>
          <w:sz w:val="32"/>
          <w:szCs w:val="32"/>
        </w:rPr>
        <w:t>规模化率</w:t>
      </w:r>
      <w:r>
        <w:rPr>
          <w:rFonts w:ascii="Times New Roman" w:hAnsi="Times New Roman" w:cs="Times New Roman"/>
          <w:color w:val="auto"/>
          <w:sz w:val="32"/>
          <w:szCs w:val="32"/>
        </w:rPr>
        <w:t>分别为</w:t>
      </w:r>
      <w:r>
        <w:rPr>
          <w:rFonts w:hint="eastAsia" w:ascii="Times New Roman" w:hAnsi="Times New Roman" w:cs="Times New Roman"/>
          <w:color w:val="auto"/>
          <w:sz w:val="32"/>
          <w:szCs w:val="32"/>
        </w:rPr>
        <w:t>蛋鸡34.33%、奶牛17.52%、肉鸡8.37%、生猪6.67%、肉牛0.61%、肉鸭1.12%、山羊0%和蛋鹅0%</w:t>
      </w:r>
      <w:r>
        <w:rPr>
          <w:rFonts w:ascii="Times New Roman" w:hAnsi="Times New Roman" w:cs="Times New Roman"/>
          <w:color w:val="auto"/>
          <w:sz w:val="32"/>
          <w:szCs w:val="32"/>
        </w:rPr>
        <w:t>。</w:t>
      </w:r>
      <w:r>
        <w:rPr>
          <w:rFonts w:hint="eastAsia" w:ascii="Times New Roman" w:hAnsi="Times New Roman" w:cs="Times New Roman"/>
          <w:color w:val="auto"/>
          <w:sz w:val="32"/>
          <w:szCs w:val="32"/>
        </w:rPr>
        <w:t>蛋鹅</w:t>
      </w:r>
      <w:r>
        <w:rPr>
          <w:rFonts w:ascii="Times New Roman" w:hAnsi="Times New Roman" w:cs="Times New Roman"/>
          <w:color w:val="auto"/>
          <w:sz w:val="32"/>
          <w:szCs w:val="32"/>
        </w:rPr>
        <w:t>、</w:t>
      </w:r>
      <w:r>
        <w:rPr>
          <w:rFonts w:hint="eastAsia" w:ascii="Times New Roman" w:hAnsi="Times New Roman" w:cs="Times New Roman"/>
          <w:color w:val="auto"/>
          <w:sz w:val="32"/>
          <w:szCs w:val="32"/>
        </w:rPr>
        <w:t>肉牛和羊</w:t>
      </w:r>
      <w:r>
        <w:rPr>
          <w:rFonts w:ascii="Times New Roman" w:hAnsi="Times New Roman" w:cs="Times New Roman"/>
          <w:color w:val="auto"/>
          <w:sz w:val="32"/>
          <w:szCs w:val="32"/>
        </w:rPr>
        <w:t>规</w:t>
      </w:r>
      <w:r>
        <w:rPr>
          <w:rFonts w:hint="eastAsia" w:ascii="Times New Roman" w:hAnsi="Times New Roman" w:cs="Times New Roman"/>
          <w:color w:val="auto"/>
          <w:sz w:val="32"/>
          <w:szCs w:val="32"/>
        </w:rPr>
        <w:t>模化比重较低，规模化养殖有待进一步提高</w:t>
      </w:r>
      <w:r>
        <w:rPr>
          <w:rFonts w:ascii="Times New Roman" w:hAnsi="Times New Roman" w:cs="Times New Roman"/>
          <w:color w:val="auto"/>
          <w:sz w:val="32"/>
          <w:szCs w:val="32"/>
        </w:rPr>
        <w:t>。</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另外，长清区养殖专业户有242户，</w:t>
      </w:r>
      <w:r>
        <w:rPr>
          <w:rFonts w:ascii="Times New Roman" w:hAnsi="Times New Roman" w:cs="Times New Roman"/>
          <w:color w:val="auto"/>
          <w:sz w:val="32"/>
          <w:szCs w:val="32"/>
        </w:rPr>
        <w:t>数量</w:t>
      </w:r>
      <w:r>
        <w:rPr>
          <w:rFonts w:hint="eastAsia" w:ascii="Times New Roman" w:hAnsi="Times New Roman" w:cs="Times New Roman"/>
          <w:color w:val="auto"/>
          <w:sz w:val="32"/>
          <w:szCs w:val="32"/>
        </w:rPr>
        <w:t>相对较</w:t>
      </w:r>
      <w:r>
        <w:rPr>
          <w:rFonts w:ascii="Times New Roman" w:hAnsi="Times New Roman" w:cs="Times New Roman"/>
          <w:color w:val="auto"/>
          <w:sz w:val="32"/>
          <w:szCs w:val="32"/>
        </w:rPr>
        <w:t>多</w:t>
      </w:r>
      <w:r>
        <w:rPr>
          <w:rFonts w:hint="eastAsia" w:ascii="Times New Roman" w:hAnsi="Times New Roman" w:cs="Times New Roman"/>
          <w:color w:val="auto"/>
          <w:sz w:val="32"/>
          <w:szCs w:val="32"/>
        </w:rPr>
        <w:t>，</w:t>
      </w:r>
      <w:r>
        <w:rPr>
          <w:rFonts w:ascii="Times New Roman" w:hAnsi="Times New Roman" w:cs="Times New Roman"/>
          <w:color w:val="auto"/>
          <w:sz w:val="32"/>
          <w:szCs w:val="32"/>
        </w:rPr>
        <w:t>养殖总量占比</w:t>
      </w:r>
      <w:r>
        <w:rPr>
          <w:rFonts w:hint="eastAsia" w:ascii="Times New Roman" w:hAnsi="Times New Roman" w:cs="Times New Roman"/>
          <w:color w:val="auto"/>
          <w:sz w:val="32"/>
          <w:szCs w:val="32"/>
        </w:rPr>
        <w:t>较</w:t>
      </w:r>
      <w:r>
        <w:rPr>
          <w:rFonts w:ascii="Times New Roman" w:hAnsi="Times New Roman" w:cs="Times New Roman"/>
          <w:color w:val="auto"/>
          <w:sz w:val="32"/>
          <w:szCs w:val="32"/>
        </w:rPr>
        <w:t>大</w:t>
      </w:r>
      <w:r>
        <w:rPr>
          <w:rFonts w:hint="eastAsia" w:ascii="Times New Roman" w:hAnsi="Times New Roman" w:cs="Times New Roman"/>
          <w:color w:val="auto"/>
          <w:sz w:val="32"/>
          <w:szCs w:val="32"/>
        </w:rPr>
        <w:t>，养殖户粪污</w:t>
      </w:r>
      <w:r>
        <w:rPr>
          <w:rFonts w:ascii="Times New Roman" w:hAnsi="Times New Roman" w:cs="Times New Roman"/>
          <w:color w:val="auto"/>
          <w:sz w:val="32"/>
          <w:szCs w:val="32"/>
        </w:rPr>
        <w:t>对农村居住环境</w:t>
      </w:r>
      <w:r>
        <w:rPr>
          <w:rFonts w:hint="eastAsia" w:ascii="Times New Roman" w:hAnsi="Times New Roman" w:cs="Times New Roman"/>
          <w:color w:val="auto"/>
          <w:sz w:val="32"/>
          <w:szCs w:val="32"/>
        </w:rPr>
        <w:t>有一定影响</w:t>
      </w:r>
      <w:r>
        <w:rPr>
          <w:rFonts w:ascii="Times New Roman" w:hAnsi="Times New Roman" w:cs="Times New Roman"/>
          <w:color w:val="auto"/>
          <w:sz w:val="32"/>
          <w:szCs w:val="32"/>
        </w:rPr>
        <w:t>，</w:t>
      </w:r>
      <w:r>
        <w:rPr>
          <w:rFonts w:hint="eastAsia" w:ascii="Times New Roman" w:hAnsi="Times New Roman" w:cs="Times New Roman"/>
          <w:color w:val="auto"/>
          <w:sz w:val="32"/>
          <w:szCs w:val="32"/>
        </w:rPr>
        <w:t>区域畜牧业规模化、标准化发展有待进一步提高</w:t>
      </w:r>
      <w:r>
        <w:rPr>
          <w:rFonts w:ascii="Times New Roman" w:hAnsi="Times New Roman" w:cs="Times New Roman"/>
          <w:color w:val="auto"/>
          <w:sz w:val="32"/>
          <w:szCs w:val="32"/>
        </w:rPr>
        <w:t>。</w:t>
      </w:r>
    </w:p>
    <w:p>
      <w:pPr>
        <w:widowControl w:val="0"/>
        <w:spacing w:line="570" w:lineRule="exact"/>
        <w:ind w:firstLine="640"/>
        <w:jc w:val="both"/>
        <w:rPr>
          <w:rFonts w:hint="eastAsia" w:ascii="仿宋_GB2312"/>
          <w:color w:val="auto"/>
          <w:sz w:val="32"/>
          <w:szCs w:val="32"/>
        </w:rPr>
      </w:pPr>
      <w:r>
        <w:rPr>
          <w:rFonts w:hint="eastAsia" w:ascii="仿宋_GB2312" w:hAnsi="Times New Roman" w:cs="FangSong_GB2312"/>
          <w:color w:val="auto"/>
          <w:sz w:val="32"/>
          <w:szCs w:val="32"/>
        </w:rPr>
        <w:t>长清区养殖规模化、标准化工作难进展主要体现在：</w:t>
      </w:r>
      <w:r>
        <w:rPr>
          <w:rFonts w:hint="eastAsia" w:ascii="Times New Roman" w:hAnsi="Times New Roman" w:eastAsia="FangSong_GB2312" w:cs="FangSong_GB2312"/>
          <w:color w:val="auto"/>
          <w:sz w:val="32"/>
          <w:szCs w:val="32"/>
        </w:rPr>
        <w:t>（1）</w:t>
      </w:r>
      <w:r>
        <w:rPr>
          <w:rFonts w:hint="eastAsia" w:ascii="仿宋_GB2312" w:hAnsi="Times New Roman" w:cs="FangSong_GB2312"/>
          <w:color w:val="auto"/>
          <w:sz w:val="32"/>
          <w:szCs w:val="32"/>
        </w:rPr>
        <w:t>涉及沿黄区县、马山镇、双泉镇全域规划等，养殖业土地手续办理难度加大；</w:t>
      </w:r>
      <w:r>
        <w:rPr>
          <w:rFonts w:hint="eastAsia" w:ascii="Times New Roman" w:hAnsi="Times New Roman" w:eastAsia="FangSong_GB2312" w:cs="FangSong_GB2312"/>
          <w:color w:val="auto"/>
          <w:sz w:val="32"/>
          <w:szCs w:val="32"/>
        </w:rPr>
        <w:t>（2）</w:t>
      </w:r>
      <w:r>
        <w:rPr>
          <w:rFonts w:hint="eastAsia" w:ascii="仿宋_GB2312" w:hAnsi="Times New Roman" w:cs="FangSong_GB2312"/>
          <w:color w:val="auto"/>
          <w:sz w:val="32"/>
          <w:szCs w:val="32"/>
        </w:rPr>
        <w:t>养殖业行情不佳，农村养殖业还面临着人才短缺的问题，限制新建和扩建养殖场户数量，总体养殖规模提升难度较大。</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2.4.4.</w:t>
      </w:r>
      <w:r>
        <w:rPr>
          <w:color w:val="auto"/>
          <w:sz w:val="32"/>
          <w:szCs w:val="32"/>
        </w:rPr>
        <w:t>2粪污处理利用和设施运行维护</w:t>
      </w:r>
      <w:r>
        <w:rPr>
          <w:rFonts w:hint="eastAsia"/>
          <w:color w:val="auto"/>
          <w:sz w:val="32"/>
          <w:szCs w:val="32"/>
        </w:rPr>
        <w:t>水平有待提高</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全区粪污处理方式是以堆肥还田为主，另有异位生物发酵处理，沼气池厌氧发酵处理等。</w:t>
      </w:r>
      <w:r>
        <w:rPr>
          <w:rFonts w:hint="eastAsia" w:ascii="Times New Roman" w:hAnsi="Times New Roman" w:cs="Times New Roman"/>
          <w:color w:val="auto"/>
          <w:sz w:val="32"/>
          <w:szCs w:val="32"/>
        </w:rPr>
        <w:t>目前</w:t>
      </w:r>
      <w:r>
        <w:rPr>
          <w:rFonts w:ascii="Times New Roman" w:hAnsi="Times New Roman" w:cs="Times New Roman"/>
          <w:color w:val="auto"/>
          <w:sz w:val="32"/>
          <w:szCs w:val="32"/>
        </w:rPr>
        <w:t>存在个别养殖场</w:t>
      </w:r>
      <w:r>
        <w:rPr>
          <w:rFonts w:hint="eastAsia" w:ascii="Times New Roman" w:hAnsi="Times New Roman" w:cs="Times New Roman"/>
          <w:color w:val="auto"/>
          <w:sz w:val="32"/>
          <w:szCs w:val="32"/>
        </w:rPr>
        <w:t>户</w:t>
      </w:r>
      <w:r>
        <w:rPr>
          <w:rFonts w:ascii="Times New Roman" w:hAnsi="Times New Roman" w:cs="Times New Roman"/>
          <w:color w:val="auto"/>
          <w:sz w:val="32"/>
          <w:szCs w:val="32"/>
        </w:rPr>
        <w:t>环境卫生较差；个别养殖场发酵后的粪污清运不及时，进入夏季，场区内</w:t>
      </w:r>
      <w:r>
        <w:rPr>
          <w:rFonts w:hint="eastAsia" w:ascii="Times New Roman" w:hAnsi="Times New Roman" w:cs="Times New Roman"/>
          <w:color w:val="auto"/>
          <w:sz w:val="32"/>
          <w:szCs w:val="32"/>
        </w:rPr>
        <w:t>有异味</w:t>
      </w:r>
      <w:r>
        <w:rPr>
          <w:rFonts w:ascii="Times New Roman" w:hAnsi="Times New Roman" w:cs="Times New Roman"/>
          <w:color w:val="auto"/>
          <w:sz w:val="32"/>
          <w:szCs w:val="32"/>
        </w:rPr>
        <w:t>；</w:t>
      </w:r>
      <w:r>
        <w:rPr>
          <w:rFonts w:hint="eastAsia" w:ascii="Times New Roman" w:hAnsi="Times New Roman" w:cs="Times New Roman"/>
          <w:color w:val="auto"/>
          <w:sz w:val="32"/>
          <w:szCs w:val="32"/>
        </w:rPr>
        <w:t>个别</w:t>
      </w:r>
      <w:r>
        <w:rPr>
          <w:rFonts w:ascii="Times New Roman" w:hAnsi="Times New Roman" w:cs="Times New Roman"/>
          <w:color w:val="auto"/>
          <w:sz w:val="32"/>
          <w:szCs w:val="32"/>
        </w:rPr>
        <w:t>养殖</w:t>
      </w:r>
      <w:r>
        <w:rPr>
          <w:rFonts w:hint="eastAsia" w:ascii="Times New Roman" w:hAnsi="Times New Roman" w:cs="Times New Roman"/>
          <w:color w:val="auto"/>
          <w:sz w:val="32"/>
          <w:szCs w:val="32"/>
        </w:rPr>
        <w:t>场户</w:t>
      </w:r>
      <w:r>
        <w:rPr>
          <w:rFonts w:ascii="Times New Roman" w:hAnsi="Times New Roman" w:cs="Times New Roman"/>
          <w:color w:val="auto"/>
          <w:sz w:val="32"/>
          <w:szCs w:val="32"/>
        </w:rPr>
        <w:t>雨污分离设施维护不到位，</w:t>
      </w:r>
      <w:r>
        <w:rPr>
          <w:rFonts w:hint="eastAsia" w:ascii="Times New Roman" w:hAnsi="Times New Roman" w:cs="Times New Roman"/>
          <w:color w:val="auto"/>
          <w:sz w:val="32"/>
          <w:szCs w:val="32"/>
        </w:rPr>
        <w:t>存在一定的</w:t>
      </w:r>
      <w:r>
        <w:rPr>
          <w:rFonts w:ascii="Times New Roman" w:hAnsi="Times New Roman" w:cs="Times New Roman"/>
          <w:color w:val="auto"/>
          <w:sz w:val="32"/>
          <w:szCs w:val="32"/>
        </w:rPr>
        <w:t>农业面源污染</w:t>
      </w:r>
      <w:r>
        <w:rPr>
          <w:rFonts w:hint="eastAsia" w:ascii="Times New Roman" w:hAnsi="Times New Roman" w:cs="Times New Roman"/>
          <w:color w:val="auto"/>
          <w:sz w:val="32"/>
          <w:szCs w:val="32"/>
        </w:rPr>
        <w:t>隐患</w:t>
      </w:r>
      <w:r>
        <w:rPr>
          <w:rFonts w:ascii="Times New Roman" w:hAnsi="Times New Roman" w:cs="Times New Roman"/>
          <w:color w:val="auto"/>
          <w:sz w:val="32"/>
          <w:szCs w:val="32"/>
        </w:rPr>
        <w:t>。</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2.4.4.</w:t>
      </w:r>
      <w:r>
        <w:rPr>
          <w:color w:val="auto"/>
          <w:sz w:val="32"/>
          <w:szCs w:val="32"/>
        </w:rPr>
        <w:t>3</w:t>
      </w:r>
      <w:r>
        <w:rPr>
          <w:rFonts w:hint="eastAsia"/>
          <w:color w:val="auto"/>
          <w:sz w:val="32"/>
          <w:szCs w:val="32"/>
        </w:rPr>
        <w:t>粪肥还田、</w:t>
      </w:r>
      <w:r>
        <w:rPr>
          <w:color w:val="auto"/>
          <w:sz w:val="32"/>
          <w:szCs w:val="32"/>
        </w:rPr>
        <w:t>种养结合有待进一步推进</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粪污收集、堆沤人工成本高、环节多，且制作有机肥存在肥效长、见效慢、有异味、堆存量大等特点，仅靠一家一户很难实现。粪污处理后还田缺少种植业大型受纳实体，发酵后的粪肥多由附近种植户到养殖场取用。</w:t>
      </w:r>
      <w:r>
        <w:rPr>
          <w:rFonts w:hint="eastAsia"/>
          <w:color w:val="auto"/>
          <w:sz w:val="32"/>
          <w:szCs w:val="32"/>
        </w:rPr>
        <w:t>田间配套设施和粪污拉运输送设施还不完善</w:t>
      </w:r>
      <w:r>
        <w:rPr>
          <w:rFonts w:ascii="Times New Roman" w:hAnsi="Times New Roman" w:cs="Times New Roman"/>
          <w:color w:val="auto"/>
          <w:sz w:val="32"/>
          <w:szCs w:val="32"/>
        </w:rPr>
        <w:t>，粪污处理利用市场化运营机制还未有效建立，社会化服务组织对接种养主体的桥梁纽带作用发挥不足，粪肥资源化利用路径不畅。</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2.4.4.4畜禽粪污环境监管有待进一步完善</w:t>
      </w:r>
    </w:p>
    <w:p>
      <w:pPr>
        <w:widowControl w:val="0"/>
        <w:spacing w:line="570" w:lineRule="exact"/>
        <w:ind w:firstLine="640"/>
        <w:jc w:val="both"/>
        <w:rPr>
          <w:rFonts w:ascii="Times New Roman" w:hAnsi="Times New Roman" w:cs="Times New Roman"/>
          <w:color w:val="auto"/>
          <w:sz w:val="32"/>
          <w:szCs w:val="32"/>
        </w:rPr>
        <w:sectPr>
          <w:headerReference r:id="rId16" w:type="default"/>
          <w:footerReference r:id="rId18" w:type="default"/>
          <w:headerReference r:id="rId17" w:type="even"/>
          <w:footerReference r:id="rId19" w:type="even"/>
          <w:pgSz w:w="11906" w:h="16838"/>
          <w:pgMar w:top="1985" w:right="1531" w:bottom="1814" w:left="1531" w:header="720" w:footer="1304" w:gutter="0"/>
          <w:cols w:space="0" w:num="1"/>
          <w:docGrid w:linePitch="381" w:charSpace="0"/>
        </w:sectPr>
      </w:pPr>
      <w:r>
        <w:rPr>
          <w:rFonts w:hint="eastAsia" w:ascii="Times New Roman" w:hAnsi="Times New Roman" w:cs="Times New Roman"/>
          <w:color w:val="auto"/>
          <w:sz w:val="32"/>
          <w:szCs w:val="32"/>
        </w:rPr>
        <w:t>目前长清区畜禽养殖专业户数量仍占一定比例</w:t>
      </w:r>
      <w:r>
        <w:rPr>
          <w:rFonts w:ascii="Times New Roman" w:hAnsi="Times New Roman" w:cs="Times New Roman"/>
          <w:color w:val="auto"/>
          <w:sz w:val="32"/>
          <w:szCs w:val="32"/>
        </w:rPr>
        <w:t>，</w:t>
      </w:r>
      <w:r>
        <w:rPr>
          <w:rFonts w:hint="eastAsia" w:ascii="Times New Roman" w:hAnsi="Times New Roman" w:cs="Times New Roman"/>
          <w:color w:val="auto"/>
          <w:sz w:val="32"/>
          <w:szCs w:val="32"/>
        </w:rPr>
        <w:t>存在部分养殖户</w:t>
      </w:r>
      <w:r>
        <w:rPr>
          <w:rFonts w:hint="eastAsia"/>
          <w:color w:val="auto"/>
          <w:sz w:val="32"/>
          <w:szCs w:val="32"/>
        </w:rPr>
        <w:t>粪污消纳台账记录不及时、不规范等问题。部分养殖场户从业人员文化程度不高、污染治理意识薄弱，对粪污处理技术和设施的资金投入积极性不高，监管存在一定的阻碍</w:t>
      </w:r>
      <w:r>
        <w:rPr>
          <w:rFonts w:ascii="Times New Roman" w:hAnsi="Times New Roman" w:cs="Times New Roman"/>
          <w:color w:val="auto"/>
          <w:sz w:val="32"/>
          <w:szCs w:val="32"/>
        </w:rPr>
        <w:t>。</w:t>
      </w:r>
      <w:r>
        <w:rPr>
          <w:rFonts w:hint="eastAsia" w:ascii="Times New Roman" w:hAnsi="Times New Roman" w:cs="Times New Roman"/>
          <w:color w:val="auto"/>
          <w:sz w:val="32"/>
          <w:szCs w:val="32"/>
        </w:rPr>
        <w:t>另外，现有的政策对非规模化养殖在污染防治上给予的补贴较少，</w:t>
      </w:r>
      <w:r>
        <w:rPr>
          <w:rFonts w:hint="eastAsia"/>
          <w:color w:val="auto"/>
          <w:sz w:val="32"/>
          <w:szCs w:val="32"/>
        </w:rPr>
        <w:t>畜禽规模养殖场直联直报信息系统尚不能实现</w:t>
      </w:r>
      <w:r>
        <w:rPr>
          <w:rFonts w:hint="eastAsia" w:ascii="Times New Roman" w:hAnsi="Times New Roman" w:cs="Times New Roman"/>
          <w:color w:val="auto"/>
          <w:sz w:val="32"/>
          <w:szCs w:val="32"/>
        </w:rPr>
        <w:t>养殖场户</w:t>
      </w:r>
      <w:r>
        <w:rPr>
          <w:rFonts w:hint="eastAsia"/>
          <w:color w:val="auto"/>
          <w:sz w:val="32"/>
          <w:szCs w:val="32"/>
        </w:rPr>
        <w:t>污染动态管理、动态更新，对掌握全区畜禽粪污处理和综合利用情况提供的数据和技术支撑作用有限，</w:t>
      </w:r>
      <w:r>
        <w:rPr>
          <w:rFonts w:hint="eastAsia" w:ascii="Times New Roman" w:hAnsi="Times New Roman" w:cs="Times New Roman"/>
          <w:color w:val="auto"/>
          <w:sz w:val="32"/>
          <w:szCs w:val="32"/>
        </w:rPr>
        <w:t>监管信息化水平也有待进一步完善。</w:t>
      </w:r>
    </w:p>
    <w:p>
      <w:pPr>
        <w:pStyle w:val="3"/>
        <w:keepNext w:val="0"/>
        <w:keepLines w:val="0"/>
        <w:widowControl w:val="0"/>
        <w:spacing w:after="0" w:line="570" w:lineRule="exact"/>
        <w:ind w:left="0" w:right="0" w:firstLine="643"/>
        <w:jc w:val="both"/>
        <w:rPr>
          <w:rFonts w:ascii="Times New Roman" w:hAnsi="Times New Roman" w:eastAsia="黑体" w:cs="Times New Roman"/>
          <w:b/>
          <w:color w:val="auto"/>
          <w:kern w:val="44"/>
          <w:sz w:val="32"/>
          <w:szCs w:val="32"/>
          <w:lang w:val="en-GB"/>
        </w:rPr>
      </w:pPr>
      <w:bookmarkStart w:id="92" w:name="_Toc30322"/>
      <w:r>
        <w:rPr>
          <w:rFonts w:hint="eastAsia" w:ascii="Times New Roman" w:hAnsi="Times New Roman" w:eastAsia="黑体" w:cs="Times New Roman"/>
          <w:b/>
          <w:color w:val="auto"/>
          <w:kern w:val="44"/>
          <w:sz w:val="32"/>
          <w:szCs w:val="32"/>
        </w:rPr>
        <w:t>3</w:t>
      </w:r>
      <w:r>
        <w:rPr>
          <w:rFonts w:ascii="Times New Roman" w:hAnsi="Times New Roman" w:eastAsia="黑体" w:cs="Times New Roman"/>
          <w:b/>
          <w:color w:val="auto"/>
          <w:kern w:val="44"/>
          <w:sz w:val="32"/>
          <w:szCs w:val="32"/>
          <w:lang w:val="en-GB"/>
        </w:rPr>
        <w:t>规划目标指标</w:t>
      </w:r>
      <w:bookmarkEnd w:id="92"/>
    </w:p>
    <w:p>
      <w:pPr>
        <w:pStyle w:val="4"/>
        <w:spacing w:beforeLines="0" w:afterLines="0" w:line="570" w:lineRule="exact"/>
        <w:ind w:firstLine="641"/>
        <w:jc w:val="both"/>
        <w:rPr>
          <w:rFonts w:eastAsia="华文楷体"/>
          <w:color w:val="auto"/>
          <w:sz w:val="32"/>
          <w:szCs w:val="32"/>
        </w:rPr>
      </w:pPr>
      <w:bookmarkStart w:id="93" w:name="_Toc4121"/>
      <w:r>
        <w:rPr>
          <w:rFonts w:eastAsia="华文楷体"/>
          <w:color w:val="auto"/>
          <w:sz w:val="32"/>
          <w:szCs w:val="32"/>
        </w:rPr>
        <w:t>3.1</w:t>
      </w:r>
      <w:r>
        <w:rPr>
          <w:rFonts w:hint="eastAsia" w:ascii="楷体_GB2312" w:eastAsia="楷体_GB2312"/>
          <w:color w:val="auto"/>
          <w:sz w:val="32"/>
          <w:szCs w:val="32"/>
        </w:rPr>
        <w:t>规划目标与指标</w:t>
      </w:r>
      <w:bookmarkEnd w:id="93"/>
    </w:p>
    <w:p>
      <w:pPr>
        <w:pStyle w:val="5"/>
        <w:keepNext w:val="0"/>
        <w:keepLines w:val="0"/>
        <w:widowControl w:val="0"/>
        <w:spacing w:beforeLines="0" w:afterLines="0" w:line="570" w:lineRule="exact"/>
        <w:ind w:firstLine="643" w:firstLineChars="200"/>
        <w:jc w:val="both"/>
        <w:rPr>
          <w:color w:val="auto"/>
          <w:sz w:val="32"/>
          <w:szCs w:val="32"/>
        </w:rPr>
      </w:pPr>
      <w:bookmarkStart w:id="94" w:name="_Toc117788575"/>
      <w:bookmarkStart w:id="95" w:name="_Toc117837749"/>
      <w:bookmarkStart w:id="96" w:name="_Toc14133"/>
      <w:bookmarkStart w:id="97" w:name="_Toc112078506"/>
      <w:r>
        <w:rPr>
          <w:rFonts w:hint="eastAsia"/>
          <w:color w:val="auto"/>
          <w:sz w:val="32"/>
          <w:szCs w:val="32"/>
        </w:rPr>
        <w:t>3.1.1规划目标</w:t>
      </w:r>
      <w:bookmarkEnd w:id="94"/>
      <w:bookmarkEnd w:id="95"/>
      <w:bookmarkEnd w:id="96"/>
      <w:bookmarkEnd w:id="97"/>
    </w:p>
    <w:p>
      <w:pPr>
        <w:widowControl w:val="0"/>
        <w:adjustRightInd/>
        <w:spacing w:line="570" w:lineRule="exact"/>
        <w:ind w:firstLine="640"/>
        <w:rPr>
          <w:rFonts w:ascii="Times New Roman" w:hAnsi="Times New Roman" w:cs="Times New Roman"/>
          <w:color w:val="auto"/>
          <w:sz w:val="32"/>
          <w:szCs w:val="32"/>
        </w:rPr>
      </w:pPr>
      <w:r>
        <w:rPr>
          <w:rFonts w:hint="eastAsia" w:ascii="Times New Roman" w:hAnsi="Times New Roman" w:cs="Times New Roman"/>
          <w:color w:val="auto"/>
          <w:sz w:val="32"/>
          <w:szCs w:val="32"/>
        </w:rPr>
        <w:t>根据</w:t>
      </w:r>
      <w:r>
        <w:rPr>
          <w:rFonts w:ascii="Times New Roman" w:hAnsi="Times New Roman" w:cs="Times New Roman"/>
          <w:color w:val="auto"/>
          <w:sz w:val="32"/>
          <w:szCs w:val="32"/>
        </w:rPr>
        <w:t>《济南市畜禽养殖污染防治规划》</w:t>
      </w:r>
      <w:r>
        <w:rPr>
          <w:rFonts w:hint="eastAsia" w:ascii="Times New Roman" w:hAnsi="Times New Roman" w:cs="Times New Roman"/>
          <w:color w:val="auto"/>
          <w:sz w:val="32"/>
          <w:szCs w:val="32"/>
        </w:rPr>
        <w:t>（2022-2025）简稿</w:t>
      </w:r>
      <w:r>
        <w:rPr>
          <w:rFonts w:ascii="Times New Roman" w:hAnsi="Times New Roman" w:cs="Times New Roman"/>
          <w:color w:val="auto"/>
          <w:sz w:val="32"/>
          <w:szCs w:val="32"/>
        </w:rPr>
        <w:t>，畜禽养殖业污染防治规划的总体目标：大力倡导发展生态养殖业，因地制宜地建设粪污收集、贮存、处理、利用设施，推进粪污资源化利用，从而促进畜禽养殖业的持续健康发展。到2025年，</w:t>
      </w:r>
      <w:r>
        <w:rPr>
          <w:rFonts w:hint="eastAsia" w:ascii="Times New Roman" w:hAnsi="Times New Roman" w:cs="Times New Roman"/>
          <w:color w:val="auto"/>
          <w:sz w:val="32"/>
          <w:szCs w:val="32"/>
        </w:rPr>
        <w:t>长清区</w:t>
      </w:r>
      <w:r>
        <w:rPr>
          <w:rFonts w:ascii="Times New Roman" w:hAnsi="Times New Roman" w:cs="Times New Roman"/>
          <w:color w:val="auto"/>
          <w:sz w:val="32"/>
          <w:szCs w:val="32"/>
        </w:rPr>
        <w:t>畜禽养殖业总体布局科学合理</w:t>
      </w:r>
      <w:r>
        <w:rPr>
          <w:rFonts w:hint="eastAsia" w:ascii="Times New Roman" w:hAnsi="Times New Roman" w:cs="Times New Roman"/>
          <w:color w:val="auto"/>
          <w:sz w:val="32"/>
          <w:szCs w:val="32"/>
        </w:rPr>
        <w:t>，</w:t>
      </w:r>
      <w:r>
        <w:rPr>
          <w:rFonts w:ascii="Times New Roman" w:hAnsi="Times New Roman" w:cs="Times New Roman"/>
          <w:color w:val="auto"/>
          <w:sz w:val="32"/>
          <w:szCs w:val="32"/>
        </w:rPr>
        <w:t>畜禽养殖污染防治水平有效提升，畜禽养殖污染防治监管能力全面提高，种养循环、农牧结合的畜禽养殖废弃物资源化利用体系基本建成。</w:t>
      </w:r>
    </w:p>
    <w:p>
      <w:pPr>
        <w:pStyle w:val="5"/>
        <w:keepNext w:val="0"/>
        <w:keepLines w:val="0"/>
        <w:widowControl w:val="0"/>
        <w:spacing w:beforeLines="0" w:afterLines="0" w:line="570" w:lineRule="exact"/>
        <w:ind w:firstLine="643" w:firstLineChars="200"/>
        <w:jc w:val="both"/>
        <w:rPr>
          <w:color w:val="auto"/>
          <w:sz w:val="32"/>
          <w:szCs w:val="32"/>
        </w:rPr>
      </w:pPr>
      <w:bookmarkStart w:id="98" w:name="_Toc112078507"/>
      <w:bookmarkStart w:id="99" w:name="_Toc18733"/>
      <w:bookmarkStart w:id="100" w:name="_Toc117837750"/>
      <w:bookmarkStart w:id="101" w:name="_Toc117788576"/>
      <w:r>
        <w:rPr>
          <w:rFonts w:hint="eastAsia"/>
          <w:color w:val="auto"/>
          <w:sz w:val="32"/>
          <w:szCs w:val="32"/>
        </w:rPr>
        <w:t>3.1.2规划指标</w:t>
      </w:r>
      <w:bookmarkEnd w:id="98"/>
      <w:bookmarkEnd w:id="99"/>
      <w:bookmarkEnd w:id="100"/>
      <w:bookmarkEnd w:id="101"/>
    </w:p>
    <w:p>
      <w:pPr>
        <w:adjustRightInd/>
        <w:ind w:firstLine="0" w:firstLineChars="0"/>
        <w:jc w:val="center"/>
        <w:rPr>
          <w:rFonts w:ascii="Times New Roman" w:hAnsi="Times New Roman" w:cs="Times New Roman"/>
          <w:b/>
          <w:bCs/>
          <w:color w:val="auto"/>
          <w:sz w:val="24"/>
          <w:szCs w:val="21"/>
        </w:rPr>
      </w:pPr>
      <w:r>
        <w:rPr>
          <w:rFonts w:ascii="Times New Roman" w:hAnsi="Times New Roman" w:cs="Times New Roman"/>
          <w:b/>
          <w:bCs/>
          <w:color w:val="auto"/>
          <w:sz w:val="24"/>
          <w:szCs w:val="21"/>
        </w:rPr>
        <w:t>表3.1-1畜禽养殖污染防治规划目标</w:t>
      </w:r>
    </w:p>
    <w:tbl>
      <w:tblPr>
        <w:tblStyle w:val="29"/>
        <w:tblW w:w="486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1"/>
        <w:gridCol w:w="2982"/>
        <w:gridCol w:w="1013"/>
        <w:gridCol w:w="1218"/>
        <w:gridCol w:w="1628"/>
        <w:gridCol w:w="12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blHeader/>
          <w:jc w:val="center"/>
        </w:trPr>
        <w:tc>
          <w:tcPr>
            <w:tcW w:w="426"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序号</w:t>
            </w:r>
          </w:p>
        </w:tc>
        <w:tc>
          <w:tcPr>
            <w:tcW w:w="1692"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指标名称</w:t>
            </w:r>
          </w:p>
        </w:tc>
        <w:tc>
          <w:tcPr>
            <w:tcW w:w="575"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单位</w:t>
            </w:r>
          </w:p>
        </w:tc>
        <w:tc>
          <w:tcPr>
            <w:tcW w:w="691"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指标现状</w:t>
            </w:r>
          </w:p>
        </w:tc>
        <w:tc>
          <w:tcPr>
            <w:tcW w:w="924"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目标值</w:t>
            </w:r>
          </w:p>
        </w:tc>
        <w:tc>
          <w:tcPr>
            <w:tcW w:w="692"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指标属性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426" w:type="pct"/>
            <w:vMerge w:val="restar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1</w:t>
            </w:r>
          </w:p>
        </w:tc>
        <w:tc>
          <w:tcPr>
            <w:tcW w:w="1692" w:type="pct"/>
            <w:vMerge w:val="restar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畜禽规模养殖场粪污处理设施配套率</w:t>
            </w:r>
          </w:p>
        </w:tc>
        <w:tc>
          <w:tcPr>
            <w:tcW w:w="575" w:type="pct"/>
            <w:vMerge w:val="restar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w:t>
            </w:r>
          </w:p>
        </w:tc>
        <w:tc>
          <w:tcPr>
            <w:tcW w:w="691" w:type="pct"/>
            <w:vMerge w:val="restar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100</w:t>
            </w:r>
          </w:p>
        </w:tc>
        <w:tc>
          <w:tcPr>
            <w:tcW w:w="924" w:type="pct"/>
            <w:vMerge w:val="restar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100</w:t>
            </w:r>
          </w:p>
        </w:tc>
        <w:tc>
          <w:tcPr>
            <w:tcW w:w="692" w:type="pct"/>
            <w:vMerge w:val="restar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426" w:type="pct"/>
            <w:vMerge w:val="continue"/>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p>
        </w:tc>
        <w:tc>
          <w:tcPr>
            <w:tcW w:w="1692" w:type="pct"/>
            <w:vMerge w:val="continue"/>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p>
        </w:tc>
        <w:tc>
          <w:tcPr>
            <w:tcW w:w="575" w:type="pct"/>
            <w:vMerge w:val="continue"/>
            <w:shd w:val="clear" w:color="auto" w:fill="auto"/>
            <w:vAlign w:val="center"/>
          </w:tcPr>
          <w:p>
            <w:pPr>
              <w:spacing w:line="240" w:lineRule="auto"/>
              <w:ind w:firstLine="0" w:firstLineChars="0"/>
              <w:jc w:val="center"/>
              <w:rPr>
                <w:rFonts w:ascii="Times New Roman" w:hAnsi="Times New Roman" w:cs="Times New Roman"/>
                <w:bCs/>
                <w:color w:val="auto"/>
                <w:kern w:val="0"/>
                <w:sz w:val="21"/>
                <w:szCs w:val="21"/>
              </w:rPr>
            </w:pPr>
          </w:p>
        </w:tc>
        <w:tc>
          <w:tcPr>
            <w:tcW w:w="691" w:type="pct"/>
            <w:vMerge w:val="continue"/>
            <w:shd w:val="clear" w:color="auto" w:fill="auto"/>
            <w:vAlign w:val="center"/>
          </w:tcPr>
          <w:p>
            <w:pPr>
              <w:pStyle w:val="41"/>
              <w:rPr>
                <w:rFonts w:eastAsia="仿宋_GB2312" w:cs="Times New Roman"/>
                <w:bCs/>
                <w:color w:val="auto"/>
                <w:sz w:val="21"/>
                <w:szCs w:val="21"/>
              </w:rPr>
            </w:pPr>
          </w:p>
        </w:tc>
        <w:tc>
          <w:tcPr>
            <w:tcW w:w="924" w:type="pct"/>
            <w:vMerge w:val="continue"/>
            <w:shd w:val="clear" w:color="auto" w:fill="auto"/>
            <w:vAlign w:val="center"/>
          </w:tcPr>
          <w:p>
            <w:pPr>
              <w:pStyle w:val="41"/>
              <w:rPr>
                <w:rFonts w:eastAsia="仿宋_GB2312" w:cs="Times New Roman"/>
                <w:bCs/>
                <w:color w:val="auto"/>
                <w:sz w:val="21"/>
                <w:szCs w:val="21"/>
              </w:rPr>
            </w:pPr>
          </w:p>
        </w:tc>
        <w:tc>
          <w:tcPr>
            <w:tcW w:w="692" w:type="pct"/>
            <w:vMerge w:val="continue"/>
            <w:shd w:val="clear" w:color="auto" w:fill="auto"/>
            <w:vAlign w:val="center"/>
          </w:tcPr>
          <w:p>
            <w:pPr>
              <w:pStyle w:val="41"/>
              <w:rPr>
                <w:rFonts w:eastAsia="仿宋_GB2312"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426"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2</w:t>
            </w:r>
          </w:p>
        </w:tc>
        <w:tc>
          <w:tcPr>
            <w:tcW w:w="1692"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畜禽粪污综合利用率</w:t>
            </w:r>
          </w:p>
        </w:tc>
        <w:tc>
          <w:tcPr>
            <w:tcW w:w="575" w:type="pct"/>
            <w:shd w:val="clear" w:color="auto" w:fill="auto"/>
            <w:vAlign w:val="center"/>
          </w:tcPr>
          <w:p>
            <w:pPr>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w:t>
            </w:r>
          </w:p>
        </w:tc>
        <w:tc>
          <w:tcPr>
            <w:tcW w:w="691" w:type="pct"/>
            <w:shd w:val="clear" w:color="auto" w:fill="auto"/>
            <w:vAlign w:val="center"/>
          </w:tcPr>
          <w:p>
            <w:pPr>
              <w:pStyle w:val="41"/>
              <w:rPr>
                <w:rFonts w:eastAsia="仿宋_GB2312" w:cs="Times New Roman"/>
                <w:bCs/>
                <w:color w:val="auto"/>
                <w:sz w:val="21"/>
                <w:szCs w:val="21"/>
              </w:rPr>
            </w:pPr>
            <w:r>
              <w:rPr>
                <w:rFonts w:hint="eastAsia" w:eastAsia="仿宋_GB2312" w:cs="Times New Roman"/>
                <w:bCs/>
                <w:color w:val="auto"/>
                <w:sz w:val="21"/>
                <w:szCs w:val="21"/>
              </w:rPr>
              <w:t>91.09</w:t>
            </w:r>
          </w:p>
        </w:tc>
        <w:tc>
          <w:tcPr>
            <w:tcW w:w="924"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＞90</w:t>
            </w:r>
          </w:p>
        </w:tc>
        <w:tc>
          <w:tcPr>
            <w:tcW w:w="692"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426" w:type="pct"/>
            <w:vMerge w:val="restar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3</w:t>
            </w:r>
          </w:p>
        </w:tc>
        <w:tc>
          <w:tcPr>
            <w:tcW w:w="1692" w:type="pct"/>
            <w:vMerge w:val="restar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畜禽规模养殖场粪污资源化利用台账覆盖率</w:t>
            </w:r>
          </w:p>
        </w:tc>
        <w:tc>
          <w:tcPr>
            <w:tcW w:w="575" w:type="pct"/>
            <w:vMerge w:val="restart"/>
            <w:shd w:val="clear" w:color="auto" w:fill="auto"/>
            <w:vAlign w:val="center"/>
          </w:tcPr>
          <w:p>
            <w:pPr>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w:t>
            </w:r>
          </w:p>
        </w:tc>
        <w:tc>
          <w:tcPr>
            <w:tcW w:w="691" w:type="pct"/>
            <w:vMerge w:val="restar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100</w:t>
            </w:r>
          </w:p>
        </w:tc>
        <w:tc>
          <w:tcPr>
            <w:tcW w:w="924" w:type="pct"/>
            <w:vMerge w:val="restar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100</w:t>
            </w:r>
          </w:p>
        </w:tc>
        <w:tc>
          <w:tcPr>
            <w:tcW w:w="692" w:type="pct"/>
            <w:vMerge w:val="restart"/>
            <w:shd w:val="clear" w:color="auto" w:fill="auto"/>
            <w:vAlign w:val="center"/>
          </w:tcPr>
          <w:p>
            <w:pPr>
              <w:pStyle w:val="41"/>
              <w:rPr>
                <w:rFonts w:eastAsia="仿宋_GB2312" w:cs="Times New Roman"/>
                <w:bCs/>
                <w:color w:val="auto"/>
                <w:sz w:val="21"/>
                <w:szCs w:val="21"/>
              </w:rPr>
            </w:pPr>
            <w:r>
              <w:rPr>
                <w:rFonts w:hint="eastAsia" w:eastAsia="仿宋_GB2312" w:cs="Times New Roman"/>
                <w:bCs/>
                <w:color w:val="auto"/>
                <w:sz w:val="21"/>
                <w:szCs w:val="21"/>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426" w:type="pct"/>
            <w:vMerge w:val="continue"/>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p>
        </w:tc>
        <w:tc>
          <w:tcPr>
            <w:tcW w:w="1692" w:type="pct"/>
            <w:vMerge w:val="continue"/>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p>
        </w:tc>
        <w:tc>
          <w:tcPr>
            <w:tcW w:w="575" w:type="pct"/>
            <w:vMerge w:val="continue"/>
            <w:shd w:val="clear" w:color="auto" w:fill="auto"/>
            <w:vAlign w:val="center"/>
          </w:tcPr>
          <w:p>
            <w:pPr>
              <w:spacing w:line="240" w:lineRule="auto"/>
              <w:ind w:firstLine="0" w:firstLineChars="0"/>
              <w:jc w:val="center"/>
              <w:rPr>
                <w:rFonts w:ascii="Times New Roman" w:hAnsi="Times New Roman" w:cs="Times New Roman"/>
                <w:bCs/>
                <w:color w:val="auto"/>
                <w:kern w:val="0"/>
                <w:sz w:val="21"/>
                <w:szCs w:val="21"/>
              </w:rPr>
            </w:pPr>
          </w:p>
        </w:tc>
        <w:tc>
          <w:tcPr>
            <w:tcW w:w="691" w:type="pct"/>
            <w:vMerge w:val="continue"/>
            <w:shd w:val="clear" w:color="auto" w:fill="auto"/>
            <w:vAlign w:val="center"/>
          </w:tcPr>
          <w:p>
            <w:pPr>
              <w:pStyle w:val="41"/>
              <w:rPr>
                <w:rFonts w:eastAsia="仿宋_GB2312" w:cs="Times New Roman"/>
                <w:bCs/>
                <w:color w:val="auto"/>
                <w:sz w:val="21"/>
                <w:szCs w:val="21"/>
              </w:rPr>
            </w:pPr>
          </w:p>
        </w:tc>
        <w:tc>
          <w:tcPr>
            <w:tcW w:w="924" w:type="pct"/>
            <w:vMerge w:val="continue"/>
            <w:shd w:val="clear" w:color="auto" w:fill="auto"/>
            <w:vAlign w:val="center"/>
          </w:tcPr>
          <w:p>
            <w:pPr>
              <w:pStyle w:val="41"/>
              <w:rPr>
                <w:rFonts w:eastAsia="仿宋_GB2312" w:cs="Times New Roman"/>
                <w:bCs/>
                <w:color w:val="auto"/>
                <w:sz w:val="21"/>
                <w:szCs w:val="21"/>
              </w:rPr>
            </w:pPr>
          </w:p>
        </w:tc>
        <w:tc>
          <w:tcPr>
            <w:tcW w:w="692" w:type="pct"/>
            <w:vMerge w:val="continue"/>
            <w:shd w:val="clear" w:color="auto" w:fill="auto"/>
            <w:vAlign w:val="center"/>
          </w:tcPr>
          <w:p>
            <w:pPr>
              <w:pStyle w:val="41"/>
              <w:rPr>
                <w:rFonts w:eastAsia="仿宋_GB2312"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426"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4</w:t>
            </w:r>
          </w:p>
        </w:tc>
        <w:tc>
          <w:tcPr>
            <w:tcW w:w="1692"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取得排污许可证的畜禽规模养殖场按照排污许可证要求自行监测覆盖率</w:t>
            </w:r>
          </w:p>
        </w:tc>
        <w:tc>
          <w:tcPr>
            <w:tcW w:w="575"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w:t>
            </w:r>
          </w:p>
        </w:tc>
        <w:tc>
          <w:tcPr>
            <w:tcW w:w="691" w:type="pct"/>
            <w:shd w:val="clear" w:color="auto" w:fill="auto"/>
            <w:vAlign w:val="center"/>
          </w:tcPr>
          <w:p>
            <w:pPr>
              <w:pStyle w:val="41"/>
              <w:rPr>
                <w:rFonts w:eastAsia="仿宋_GB2312" w:cs="Times New Roman"/>
                <w:bCs/>
                <w:color w:val="auto"/>
                <w:sz w:val="21"/>
                <w:szCs w:val="21"/>
              </w:rPr>
            </w:pPr>
            <w:r>
              <w:rPr>
                <w:rFonts w:hint="eastAsia" w:eastAsia="仿宋_GB2312" w:cs="Times New Roman"/>
                <w:bCs/>
                <w:color w:val="auto"/>
                <w:sz w:val="21"/>
                <w:szCs w:val="21"/>
              </w:rPr>
              <w:t>--</w:t>
            </w:r>
          </w:p>
        </w:tc>
        <w:tc>
          <w:tcPr>
            <w:tcW w:w="924"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100</w:t>
            </w:r>
          </w:p>
        </w:tc>
        <w:tc>
          <w:tcPr>
            <w:tcW w:w="692"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426"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5</w:t>
            </w:r>
          </w:p>
        </w:tc>
        <w:tc>
          <w:tcPr>
            <w:tcW w:w="1692"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畜禽规模养殖比重</w:t>
            </w:r>
          </w:p>
        </w:tc>
        <w:tc>
          <w:tcPr>
            <w:tcW w:w="575"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w:t>
            </w:r>
          </w:p>
        </w:tc>
        <w:tc>
          <w:tcPr>
            <w:tcW w:w="691" w:type="pct"/>
            <w:shd w:val="clear" w:color="auto" w:fill="auto"/>
            <w:vAlign w:val="center"/>
          </w:tcPr>
          <w:p>
            <w:pPr>
              <w:pStyle w:val="41"/>
              <w:rPr>
                <w:rFonts w:eastAsia="仿宋_GB2312" w:cs="Times New Roman"/>
                <w:bCs/>
                <w:color w:val="auto"/>
                <w:sz w:val="21"/>
                <w:szCs w:val="21"/>
              </w:rPr>
            </w:pPr>
            <w:r>
              <w:rPr>
                <w:rFonts w:hint="eastAsia" w:eastAsia="仿宋_GB2312" w:cs="Times New Roman"/>
                <w:bCs/>
                <w:color w:val="auto"/>
                <w:sz w:val="21"/>
                <w:szCs w:val="21"/>
              </w:rPr>
              <w:t>68.62</w:t>
            </w:r>
          </w:p>
        </w:tc>
        <w:tc>
          <w:tcPr>
            <w:tcW w:w="924"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完成市下达任务指标</w:t>
            </w:r>
          </w:p>
        </w:tc>
        <w:tc>
          <w:tcPr>
            <w:tcW w:w="692"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426"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6</w:t>
            </w:r>
          </w:p>
        </w:tc>
        <w:tc>
          <w:tcPr>
            <w:tcW w:w="1692" w:type="pct"/>
            <w:shd w:val="clear" w:color="auto" w:fill="auto"/>
            <w:vAlign w:val="center"/>
          </w:tcPr>
          <w:p>
            <w:pPr>
              <w:adjustRightInd/>
              <w:snapToGrid/>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大型规模养殖场氨等臭气减排比例</w:t>
            </w:r>
          </w:p>
        </w:tc>
        <w:tc>
          <w:tcPr>
            <w:tcW w:w="575"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w:t>
            </w:r>
          </w:p>
        </w:tc>
        <w:tc>
          <w:tcPr>
            <w:tcW w:w="691"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w:t>
            </w:r>
          </w:p>
        </w:tc>
        <w:tc>
          <w:tcPr>
            <w:tcW w:w="924"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完成市下达任务指标</w:t>
            </w:r>
          </w:p>
        </w:tc>
        <w:tc>
          <w:tcPr>
            <w:tcW w:w="692" w:type="pct"/>
            <w:shd w:val="clear" w:color="auto" w:fill="auto"/>
            <w:vAlign w:val="center"/>
          </w:tcPr>
          <w:p>
            <w:pPr>
              <w:pStyle w:val="41"/>
              <w:rPr>
                <w:rFonts w:eastAsia="仿宋_GB2312" w:cs="Times New Roman"/>
                <w:bCs/>
                <w:color w:val="auto"/>
                <w:sz w:val="21"/>
                <w:szCs w:val="21"/>
              </w:rPr>
            </w:pPr>
            <w:r>
              <w:rPr>
                <w:rFonts w:eastAsia="仿宋_GB2312" w:cs="Times New Roman"/>
                <w:bCs/>
                <w:color w:val="auto"/>
                <w:sz w:val="21"/>
                <w:szCs w:val="21"/>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5000" w:type="pct"/>
            <w:gridSpan w:val="6"/>
            <w:shd w:val="clear" w:color="auto" w:fill="auto"/>
            <w:vAlign w:val="center"/>
          </w:tcPr>
          <w:p>
            <w:pPr>
              <w:pStyle w:val="41"/>
              <w:rPr>
                <w:rFonts w:cs="Times New Roman"/>
                <w:bCs/>
                <w:color w:val="auto"/>
                <w:sz w:val="21"/>
                <w:szCs w:val="21"/>
              </w:rPr>
            </w:pPr>
            <w:r>
              <w:rPr>
                <w:rFonts w:hint="eastAsia" w:eastAsia="仿宋_GB2312" w:cs="Times New Roman"/>
                <w:bCs/>
                <w:color w:val="auto"/>
                <w:sz w:val="21"/>
                <w:szCs w:val="21"/>
              </w:rPr>
              <w:t>备注：2021年长清区畜禽规模养殖场均实行排污登记制，无需开展自行监测，规划实施期间若有取得排污许可证的畜禽养殖场，按照排污许可证要求开展自行监测。</w:t>
            </w:r>
          </w:p>
        </w:tc>
      </w:tr>
    </w:tbl>
    <w:p>
      <w:pPr>
        <w:pStyle w:val="4"/>
        <w:spacing w:beforeLines="0" w:afterLines="0" w:line="570" w:lineRule="exact"/>
        <w:ind w:firstLine="641"/>
        <w:jc w:val="both"/>
        <w:rPr>
          <w:rFonts w:hint="eastAsia" w:eastAsia="华文楷体"/>
          <w:color w:val="auto"/>
          <w:sz w:val="32"/>
          <w:szCs w:val="32"/>
        </w:rPr>
      </w:pPr>
      <w:bookmarkStart w:id="102" w:name="_Toc10813"/>
    </w:p>
    <w:p>
      <w:pPr>
        <w:pStyle w:val="4"/>
        <w:spacing w:beforeLines="0" w:afterLines="0" w:line="580" w:lineRule="exact"/>
        <w:ind w:firstLine="641"/>
        <w:jc w:val="both"/>
        <w:rPr>
          <w:rFonts w:hint="eastAsia" w:ascii="楷体_GB2312" w:eastAsia="楷体_GB2312"/>
          <w:color w:val="auto"/>
          <w:sz w:val="32"/>
          <w:szCs w:val="32"/>
        </w:rPr>
      </w:pPr>
      <w:r>
        <w:rPr>
          <w:rFonts w:eastAsia="华文楷体"/>
          <w:color w:val="auto"/>
          <w:sz w:val="32"/>
          <w:szCs w:val="32"/>
        </w:rPr>
        <w:t>3.2</w:t>
      </w:r>
      <w:r>
        <w:rPr>
          <w:rFonts w:hint="eastAsia" w:ascii="楷体_GB2312" w:eastAsia="楷体_GB2312"/>
          <w:color w:val="auto"/>
          <w:sz w:val="32"/>
          <w:szCs w:val="32"/>
        </w:rPr>
        <w:t>畜禽粪污环境承载力分析</w:t>
      </w:r>
      <w:bookmarkEnd w:id="102"/>
    </w:p>
    <w:p>
      <w:pPr>
        <w:widowControl w:val="0"/>
        <w:topLinePunct/>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1.畜禽粪肥养分需求量测算</w:t>
      </w:r>
    </w:p>
    <w:p>
      <w:pPr>
        <w:widowControl w:val="0"/>
        <w:topLinePunct/>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根据养分平衡，参考农业部办公厅《畜禽粪污土地承载力测算技术指南》（农办牧〔2018〕1号）和《畜禽粪便土地承载力测算方法》（NY/T3877-2021），通过区域内各种植物（包括作物、人工牧草、人工林地等）种植面积和产量核算氮（磷）总养分需求量，根据粪肥当季利用效率和化肥替代比例，核算畜禽粪肥氮（磷）养分最大需求量（在现状养分利用效率和设定的最大化肥替代比例前提下，现有种植条件所需的最大粪肥氮（磷）养分量）。大田作物与果菜茶种植类型结合当地实际条件分别设定化肥替代率。</w:t>
      </w:r>
    </w:p>
    <w:p>
      <w:pPr>
        <w:widowControl w:val="0"/>
        <w:topLinePunct/>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（1）植物养分需求量</w:t>
      </w:r>
    </w:p>
    <w:p>
      <w:pPr>
        <w:widowControl w:val="0"/>
        <w:topLinePunct/>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区域内植物总氮（磷）养分需求量</w:t>
      </w:r>
      <w:r>
        <w:rPr>
          <w:rFonts w:ascii="Times New Roman" w:hAnsi="Times New Roman" w:cs="Times New Roman"/>
          <w:i/>
          <w:color w:val="auto"/>
          <w:sz w:val="32"/>
          <w:szCs w:val="32"/>
        </w:rPr>
        <w:t>NU</w:t>
      </w:r>
      <w:r>
        <w:rPr>
          <w:rFonts w:ascii="Times New Roman" w:hAnsi="Times New Roman" w:cs="Times New Roman"/>
          <w:i/>
          <w:color w:val="auto"/>
          <w:sz w:val="32"/>
          <w:szCs w:val="32"/>
          <w:vertAlign w:val="subscript"/>
        </w:rPr>
        <w:t>r，n</w:t>
      </w:r>
      <w:r>
        <w:rPr>
          <w:rFonts w:ascii="Times New Roman" w:hAnsi="Times New Roman" w:cs="Times New Roman"/>
          <w:color w:val="auto"/>
          <w:sz w:val="32"/>
          <w:szCs w:val="32"/>
        </w:rPr>
        <w:t>，单位为千克每年（kg/年），计算公式如下：</w:t>
      </w:r>
    </w:p>
    <w:p>
      <w:pPr>
        <w:widowControl w:val="0"/>
        <w:topLinePunct/>
        <w:adjustRightInd/>
        <w:spacing w:line="580" w:lineRule="exact"/>
        <w:ind w:firstLine="640"/>
        <w:jc w:val="both"/>
        <w:rPr>
          <w:rFonts w:ascii="Times New Roman" w:hAnsi="Times New Roman" w:cs="Times New Roman"/>
          <w:color w:val="auto"/>
          <w:sz w:val="32"/>
          <w:szCs w:val="32"/>
        </w:rPr>
      </w:pPr>
      <m:oMathPara>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rPr>
                <m:t>NU</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r,n</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m:t>
          </m:r>
          <m:nary>
            <m:naryPr>
              <m:chr m:val="∑"/>
              <m:limLoc m:val="undOvr"/>
              <m:subHide m:val="1"/>
              <m:supHide m:val="1"/>
              <m:ctrlPr>
                <w:rPr>
                  <w:rFonts w:ascii="Cambria Math" w:hAnsi="Cambria Math" w:cs="Times New Roman"/>
                  <w:i/>
                  <w:color w:val="auto"/>
                  <w:sz w:val="32"/>
                  <w:szCs w:val="32"/>
                  <w:vertAlign w:val="subscript"/>
                </w:rPr>
              </m:ctrlPr>
            </m:naryPr>
            <m:sub>
              <m:ctrlPr>
                <w:rPr>
                  <w:rFonts w:ascii="Cambria Math" w:hAnsi="Cambria Math" w:cs="Times New Roman"/>
                  <w:i/>
                  <w:color w:val="auto"/>
                  <w:sz w:val="32"/>
                  <w:szCs w:val="32"/>
                  <w:vertAlign w:val="subscript"/>
                </w:rPr>
              </m:ctrlPr>
            </m:sub>
            <m:sup>
              <m:ctrlPr>
                <w:rPr>
                  <w:rFonts w:ascii="Cambria Math" w:hAnsi="Cambria Math" w:cs="Times New Roman"/>
                  <w:i/>
                  <w:color w:val="auto"/>
                  <w:sz w:val="32"/>
                  <w:szCs w:val="32"/>
                  <w:vertAlign w:val="subscript"/>
                </w:rPr>
              </m:ctrlPr>
            </m:sup>
            <m:e>
              <m:d>
                <m:dPr>
                  <m:ctrlPr>
                    <w:rPr>
                      <w:rFonts w:ascii="Cambria Math" w:hAnsi="Cambria Math" w:cs="Times New Roman"/>
                      <w:i/>
                      <w:color w:val="auto"/>
                      <w:sz w:val="32"/>
                      <w:szCs w:val="32"/>
                      <w:vertAlign w:val="subscript"/>
                    </w:rPr>
                  </m:ctrlPr>
                </m:dPr>
                <m:e>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P</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r,i</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m:t>
                  </m:r>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Q</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i</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×10</m:t>
                  </m:r>
                  <m:ctrlPr>
                    <w:rPr>
                      <w:rFonts w:ascii="Cambria Math" w:hAnsi="Cambria Math" w:cs="Times New Roman"/>
                      <w:i/>
                      <w:color w:val="auto"/>
                      <w:sz w:val="32"/>
                      <w:szCs w:val="32"/>
                      <w:vertAlign w:val="subscript"/>
                    </w:rPr>
                  </m:ctrlPr>
                </m:e>
              </m:d>
              <m:r>
                <m:rPr/>
                <w:rPr>
                  <w:rFonts w:ascii="Cambria Math" w:hAnsi="Cambria Math" w:cs="Times New Roman"/>
                  <w:color w:val="auto"/>
                  <w:sz w:val="32"/>
                  <w:szCs w:val="32"/>
                  <w:vertAlign w:val="subscript"/>
                </w:rPr>
                <m:t>+</m:t>
              </m:r>
              <m:nary>
                <m:naryPr>
                  <m:chr m:val="∑"/>
                  <m:limLoc m:val="undOvr"/>
                  <m:subHide m:val="1"/>
                  <m:supHide m:val="1"/>
                  <m:ctrlPr>
                    <w:rPr>
                      <w:rFonts w:ascii="Cambria Math" w:hAnsi="Cambria Math" w:cs="Times New Roman"/>
                      <w:i/>
                      <w:color w:val="auto"/>
                      <w:sz w:val="32"/>
                      <w:szCs w:val="32"/>
                      <w:vertAlign w:val="subscript"/>
                    </w:rPr>
                  </m:ctrlPr>
                </m:naryPr>
                <m:sub>
                  <m:ctrlPr>
                    <w:rPr>
                      <w:rFonts w:ascii="Cambria Math" w:hAnsi="Cambria Math" w:cs="Times New Roman"/>
                      <w:i/>
                      <w:color w:val="auto"/>
                      <w:sz w:val="32"/>
                      <w:szCs w:val="32"/>
                      <w:vertAlign w:val="subscript"/>
                    </w:rPr>
                  </m:ctrlPr>
                </m:sub>
                <m:sup>
                  <m:ctrlPr>
                    <w:rPr>
                      <w:rFonts w:ascii="Cambria Math" w:hAnsi="Cambria Math" w:cs="Times New Roman"/>
                      <w:i/>
                      <w:color w:val="auto"/>
                      <w:sz w:val="32"/>
                      <w:szCs w:val="32"/>
                      <w:vertAlign w:val="subscript"/>
                    </w:rPr>
                  </m:ctrlPr>
                </m:sup>
                <m:e>
                  <m:d>
                    <m:dPr>
                      <m:ctrlPr>
                        <w:rPr>
                          <w:rFonts w:ascii="Cambria Math" w:hAnsi="Cambria Math" w:cs="Times New Roman"/>
                          <w:i/>
                          <w:color w:val="auto"/>
                          <w:sz w:val="32"/>
                          <w:szCs w:val="32"/>
                          <w:vertAlign w:val="subscript"/>
                        </w:rPr>
                      </m:ctrlPr>
                    </m:dPr>
                    <m:e>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A</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t,j</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m:t>
                      </m:r>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AA</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t,j</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m:t>
                      </m:r>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Q</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j</m:t>
                          </m:r>
                          <m:ctrlPr>
                            <w:rPr>
                              <w:rFonts w:ascii="Cambria Math" w:hAnsi="Cambria Math" w:cs="Times New Roman"/>
                              <w:i/>
                              <w:color w:val="auto"/>
                              <w:sz w:val="32"/>
                              <w:szCs w:val="32"/>
                              <w:vertAlign w:val="subscript"/>
                            </w:rPr>
                          </m:ctrlPr>
                        </m:sub>
                      </m:sSub>
                      <m:ctrlPr>
                        <w:rPr>
                          <w:rFonts w:ascii="Cambria Math" w:hAnsi="Cambria Math" w:cs="Times New Roman"/>
                          <w:i/>
                          <w:color w:val="auto"/>
                          <w:sz w:val="32"/>
                          <w:szCs w:val="32"/>
                          <w:vertAlign w:val="subscript"/>
                        </w:rPr>
                      </m:ctrlPr>
                    </m:e>
                  </m:d>
                  <m:ctrlPr>
                    <w:rPr>
                      <w:rFonts w:ascii="Cambria Math" w:hAnsi="Cambria Math" w:cs="Times New Roman"/>
                      <w:i/>
                      <w:color w:val="auto"/>
                      <w:sz w:val="32"/>
                      <w:szCs w:val="32"/>
                      <w:vertAlign w:val="subscript"/>
                    </w:rPr>
                  </m:ctrlPr>
                </m:e>
              </m:nary>
              <m:ctrlPr>
                <w:rPr>
                  <w:rFonts w:ascii="Cambria Math" w:hAnsi="Cambria Math" w:cs="Times New Roman"/>
                  <w:i/>
                  <w:color w:val="auto"/>
                  <w:sz w:val="32"/>
                  <w:szCs w:val="32"/>
                  <w:vertAlign w:val="subscript"/>
                </w:rPr>
              </m:ctrlPr>
            </m:e>
          </m:nary>
        </m:oMath>
      </m:oMathPara>
    </w:p>
    <w:p>
      <w:pPr>
        <w:widowControl w:val="0"/>
        <w:topLinePunct/>
        <w:adjustRightInd/>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式中：</w:t>
      </w:r>
    </w:p>
    <w:p>
      <w:pPr>
        <w:widowControl w:val="0"/>
        <w:topLinePunct/>
        <w:adjustRightInd/>
        <w:spacing w:line="58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P</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r,i</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，边界内第i种作物（或人工牧草）总产量的数值，单位为吨每年（t/年）；</w:t>
      </w:r>
    </w:p>
    <w:p>
      <w:pPr>
        <w:widowControl w:val="0"/>
        <w:topLinePunct/>
        <w:adjustRightInd/>
        <w:spacing w:line="58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Q</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i</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，边界内第i种作物形成100kg产量所需要吸收的氮（磷）养分量的数值，单位为千克每100千克（kg/100kg）；</w:t>
      </w:r>
    </w:p>
    <w:p>
      <w:pPr>
        <w:widowControl w:val="0"/>
        <w:topLinePunct/>
        <w:adjustRightInd/>
        <w:spacing w:line="58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A</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t,j</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，边界内第j种人工林地总的种植面积的数值，单位为公顷；</w:t>
      </w:r>
    </w:p>
    <w:p>
      <w:pPr>
        <w:widowControl w:val="0"/>
        <w:topLinePunct/>
        <w:adjustRightInd/>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AA</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t,j</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，边界内第j种人工林地单位面积年生长量的数值，单位为m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每年每公顷；</w:t>
      </w:r>
    </w:p>
    <w:p>
      <w:pPr>
        <w:widowControl w:val="0"/>
        <w:topLinePunct/>
        <w:adjustRightInd/>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Q</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j</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，边界内第j种人工林地的单位体积的生长量所需要吸收的氮（磷）养分量的数值，单位为千克每m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（kg/m</w:t>
      </w:r>
      <w:r>
        <w:rPr>
          <w:rFonts w:ascii="Times New Roman" w:hAnsi="Times New Roman" w:cs="Times New Roman"/>
          <w:color w:val="auto"/>
          <w:sz w:val="32"/>
          <w:szCs w:val="32"/>
          <w:vertAlign w:val="superscript"/>
        </w:rPr>
        <w:t>3</w:t>
      </w:r>
      <w:r>
        <w:rPr>
          <w:rFonts w:ascii="Times New Roman" w:hAnsi="Times New Roman" w:cs="Times New Roman"/>
          <w:color w:val="auto"/>
          <w:sz w:val="32"/>
          <w:szCs w:val="32"/>
        </w:rPr>
        <w:t>）。</w:t>
      </w:r>
    </w:p>
    <w:p>
      <w:pPr>
        <w:widowControl w:val="0"/>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经计算，以2021年为基准，长清区全区氮需求量10959827.04kg，磷需求量为3510850.0</w:t>
      </w:r>
      <w:r>
        <w:rPr>
          <w:rFonts w:hint="eastAsia" w:ascii="Times New Roman" w:hAnsi="Times New Roman" w:cs="Times New Roman"/>
          <w:color w:val="auto"/>
          <w:sz w:val="32"/>
          <w:szCs w:val="32"/>
        </w:rPr>
        <w:t>9</w:t>
      </w:r>
      <w:r>
        <w:rPr>
          <w:rFonts w:ascii="Times New Roman" w:hAnsi="Times New Roman" w:cs="Times New Roman"/>
          <w:color w:val="auto"/>
          <w:sz w:val="32"/>
          <w:szCs w:val="32"/>
        </w:rPr>
        <w:t>kg。</w:t>
      </w:r>
    </w:p>
    <w:p>
      <w:pPr>
        <w:pStyle w:val="9"/>
        <w:ind w:firstLine="560"/>
        <w:rPr>
          <w:color w:val="auto"/>
        </w:rPr>
      </w:pPr>
    </w:p>
    <w:p>
      <w:pPr>
        <w:ind w:firstLine="0" w:firstLineChars="0"/>
        <w:jc w:val="center"/>
        <w:rPr>
          <w:rFonts w:ascii="Times New Roman" w:hAnsi="Times New Roman" w:eastAsia="仿宋" w:cs="Times New Roman"/>
          <w:b/>
          <w:bCs/>
          <w:color w:val="auto"/>
        </w:rPr>
      </w:pPr>
      <w:r>
        <w:rPr>
          <w:rFonts w:ascii="Times New Roman" w:hAnsi="Times New Roman" w:cs="Times New Roman"/>
          <w:b/>
          <w:bCs/>
          <w:color w:val="auto"/>
          <w:sz w:val="24"/>
          <w:szCs w:val="21"/>
        </w:rPr>
        <w:t>表3.2-1</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长清区各类作物氮、磷养分需求量NU</w:t>
      </w:r>
      <w:r>
        <w:rPr>
          <w:rFonts w:ascii="Times New Roman" w:hAnsi="Times New Roman" w:cs="Times New Roman"/>
          <w:b/>
          <w:bCs/>
          <w:color w:val="auto"/>
          <w:sz w:val="24"/>
          <w:szCs w:val="21"/>
          <w:vertAlign w:val="subscript"/>
        </w:rPr>
        <w:t>r，n</w:t>
      </w:r>
      <w:r>
        <w:rPr>
          <w:rFonts w:ascii="Times New Roman" w:hAnsi="Times New Roman" w:cs="Times New Roman"/>
          <w:b/>
          <w:bCs/>
          <w:color w:val="auto"/>
          <w:sz w:val="24"/>
          <w:szCs w:val="21"/>
        </w:rPr>
        <w:t>（单位：kg/年）</w:t>
      </w:r>
    </w:p>
    <w:tbl>
      <w:tblPr>
        <w:tblStyle w:val="30"/>
        <w:tblW w:w="91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125"/>
        <w:gridCol w:w="1336"/>
        <w:gridCol w:w="1336"/>
        <w:gridCol w:w="1337"/>
        <w:gridCol w:w="1490"/>
        <w:gridCol w:w="14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类型</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种类</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产量（吨）</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氮需求系数</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磷需求系数</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氮需求量</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磷需求量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大田作物</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小麦</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98453</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2953593.30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984531.10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水稻</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182</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0.8</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3996.96</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1453.44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玉米</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128562</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2956929.68</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385686.48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谷子</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17288</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3.8</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0.44</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656952.36</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76068.17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大豆</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3156</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0.748</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227250.72</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23608.82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棉花</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11.7</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3.04</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13020.93</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3383.22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薯类</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16527</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0.088</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82634.35</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14543.65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蔬菜</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黄瓜</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26290</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0.28</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0.09</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73612.00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23661.00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番茄</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19800</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0.33</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65340.00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19800.00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青椒</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16750</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0.51</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0.107</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85425.00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17922.50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茄子</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34750</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0.34</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118150.00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34750.00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大白菜</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204300</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0.15</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0.07</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306450.00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143010.00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萝卜</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15500</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0.28</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0.057</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43400.00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8835.00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大葱</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12000</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0.19</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0.036</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22800.00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4320.00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果树</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桃</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14828</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0.21</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0.033</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31138.80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4893.24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葡萄</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458</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0.74</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0.512</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3389.20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2344.96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枣</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296</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0.47</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0.47</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1391.20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1391.20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苹果</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3018</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0.08</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9054.00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2414.40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梨</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1607</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0.47</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0.23</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7552.90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3696.10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樱桃</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16974</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0.43</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0.22</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72988.20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37342.80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经济作物</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油料</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17171</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7.19</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0.887</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1234611.44</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152308.81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茶叶</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7704</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0.88</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493056.00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67795.20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人工林地</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杨树</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598836</w:t>
            </w:r>
          </w:p>
        </w:tc>
        <w:tc>
          <w:tcPr>
            <w:tcW w:w="1336"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w:t>
            </w:r>
          </w:p>
        </w:tc>
        <w:tc>
          <w:tcPr>
            <w:tcW w:w="13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1497090.00</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1497090.00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70" w:type="dxa"/>
            <w:gridSpan w:val="5"/>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b/>
                <w:bCs/>
                <w:color w:val="auto"/>
                <w:kern w:val="0"/>
                <w:sz w:val="21"/>
                <w:szCs w:val="21"/>
              </w:rPr>
              <w:t>合计</w:t>
            </w:r>
          </w:p>
        </w:tc>
        <w:tc>
          <w:tcPr>
            <w:tcW w:w="14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10959827.04</w:t>
            </w:r>
          </w:p>
        </w:tc>
        <w:tc>
          <w:tcPr>
            <w:tcW w:w="149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3510850.0</w:t>
            </w:r>
            <w:r>
              <w:rPr>
                <w:rFonts w:hint="eastAsia" w:ascii="Times New Roman" w:hAnsi="Times New Roman" w:cs="Times New Roman"/>
                <w:color w:val="auto"/>
                <w:kern w:val="0"/>
                <w:sz w:val="21"/>
                <w:szCs w:val="21"/>
              </w:rPr>
              <w:t>9</w:t>
            </w:r>
          </w:p>
        </w:tc>
      </w:tr>
    </w:tbl>
    <w:p>
      <w:pPr>
        <w:widowControl w:val="0"/>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（2）粪便养分可施用量</w:t>
      </w:r>
    </w:p>
    <w:p>
      <w:pPr>
        <w:widowControl w:val="0"/>
        <w:topLinePunct/>
        <w:adjustRightInd/>
        <w:spacing w:afterLines="100"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粪便氮(磷)养分可施用量以</w:t>
      </w:r>
      <w:r>
        <w:rPr>
          <w:rFonts w:ascii="Times New Roman" w:hAnsi="Times New Roman" w:cs="Times New Roman"/>
          <w:i/>
          <w:color w:val="auto"/>
          <w:sz w:val="32"/>
          <w:szCs w:val="32"/>
        </w:rPr>
        <w:t>NU</w:t>
      </w:r>
      <w:r>
        <w:rPr>
          <w:rFonts w:ascii="Times New Roman" w:hAnsi="Times New Roman" w:cs="Times New Roman"/>
          <w:i/>
          <w:color w:val="auto"/>
          <w:sz w:val="32"/>
          <w:szCs w:val="32"/>
          <w:vertAlign w:val="subscript"/>
        </w:rPr>
        <w:t>r，m</w:t>
      </w:r>
      <w:r>
        <w:rPr>
          <w:rFonts w:ascii="Times New Roman" w:hAnsi="Times New Roman" w:cs="Times New Roman"/>
          <w:color w:val="auto"/>
          <w:sz w:val="32"/>
          <w:szCs w:val="32"/>
        </w:rPr>
        <w:t>，表示，单位为千克每年（kg/年）。计算公式如下：</w:t>
      </w:r>
    </w:p>
    <w:p>
      <w:pPr>
        <w:widowControl w:val="0"/>
        <w:topLinePunct/>
        <w:adjustRightInd/>
        <w:spacing w:line="570" w:lineRule="exact"/>
        <w:ind w:firstLine="640"/>
        <w:jc w:val="both"/>
        <w:rPr>
          <w:rFonts w:ascii="Times New Roman" w:hAnsi="Times New Roman" w:cs="Times New Roman"/>
          <w:color w:val="auto"/>
          <w:sz w:val="32"/>
          <w:szCs w:val="32"/>
        </w:rPr>
      </w:pPr>
      <m:oMathPara>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rPr>
                <m:t>NU</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r,m</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m:t>
          </m:r>
          <m:f>
            <m:fPr>
              <m:ctrlPr>
                <w:rPr>
                  <w:rFonts w:ascii="Cambria Math" w:hAnsi="Cambria Math" w:cs="Times New Roman"/>
                  <w:i/>
                  <w:color w:val="auto"/>
                  <w:sz w:val="32"/>
                  <w:szCs w:val="32"/>
                  <w:vertAlign w:val="subscript"/>
                </w:rPr>
              </m:ctrlPr>
            </m:fPr>
            <m:num>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rPr>
                    <m:t>NU</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r,n</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m:t>
              </m:r>
              <m:r>
                <m:rPr/>
                <w:rPr>
                  <w:rFonts w:ascii="Cambria Math" w:hAnsi="Cambria Math" w:cs="Times New Roman"/>
                  <w:color w:val="auto"/>
                  <w:sz w:val="32"/>
                  <w:szCs w:val="32"/>
                </w:rPr>
                <m:t>FP</m:t>
              </m:r>
              <m:r>
                <m:rPr/>
                <w:rPr>
                  <w:rFonts w:ascii="Cambria Math" w:hAnsi="Cambria Math" w:cs="Times New Roman"/>
                  <w:color w:val="auto"/>
                  <w:sz w:val="32"/>
                  <w:szCs w:val="32"/>
                  <w:vertAlign w:val="subscript"/>
                </w:rPr>
                <m:t>×MP</m:t>
              </m:r>
              <m:ctrlPr>
                <w:rPr>
                  <w:rFonts w:ascii="Cambria Math" w:hAnsi="Cambria Math" w:cs="Times New Roman"/>
                  <w:i/>
                  <w:color w:val="auto"/>
                  <w:sz w:val="32"/>
                  <w:szCs w:val="32"/>
                  <w:vertAlign w:val="subscript"/>
                </w:rPr>
              </m:ctrlPr>
            </m:num>
            <m:den>
              <m:r>
                <m:rPr/>
                <w:rPr>
                  <w:rFonts w:ascii="Cambria Math" w:hAnsi="Cambria Math" w:cs="Times New Roman"/>
                  <w:color w:val="auto"/>
                  <w:sz w:val="32"/>
                  <w:szCs w:val="32"/>
                  <w:vertAlign w:val="subscript"/>
                </w:rPr>
                <m:t>MR</m:t>
              </m:r>
              <m:ctrlPr>
                <w:rPr>
                  <w:rFonts w:ascii="Cambria Math" w:hAnsi="Cambria Math" w:cs="Times New Roman"/>
                  <w:i/>
                  <w:color w:val="auto"/>
                  <w:sz w:val="32"/>
                  <w:szCs w:val="32"/>
                  <w:vertAlign w:val="subscript"/>
                </w:rPr>
              </m:ctrlPr>
            </m:den>
          </m:f>
        </m:oMath>
      </m:oMathPara>
    </w:p>
    <w:p>
      <w:pPr>
        <w:widowControl w:val="0"/>
        <w:topLinePunct/>
        <w:adjustRightInd/>
        <w:spacing w:line="56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式中:</w:t>
      </w:r>
    </w:p>
    <w:p>
      <w:pPr>
        <w:widowControl w:val="0"/>
        <w:topLinePunct/>
        <w:adjustRightInd/>
        <w:spacing w:line="56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rPr>
              <m:t>NU</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r,n</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，边界内植物氮(磷)养分需求量的数值，单位为千克每年；</w:t>
      </w:r>
    </w:p>
    <w:p>
      <w:pPr>
        <w:widowControl w:val="0"/>
        <w:topLinePunct/>
        <w:adjustRightInd/>
        <w:spacing w:line="56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FP，作物总养分需求中施肥供给养分占比，单位为百分号（%）；不同土壤肥力下作物总养分需求中施肥供给养分占比推荐值见表A.2；</w:t>
      </w:r>
    </w:p>
    <w:p>
      <w:pPr>
        <w:widowControl w:val="0"/>
        <w:topLinePunct/>
        <w:adjustRightInd/>
        <w:spacing w:line="56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MP，土地施肥管理中，畜禽粪便养分可施用量占施肥养分总量的比例，单位为百分号（%），该值根据当地实际情况确定，推荐值为50%~100%，根据2021年数据，全区约有50%的农作物采用有机肥（含有机粪肥等）进行施用。</w:t>
      </w:r>
    </w:p>
    <w:p>
      <w:pPr>
        <w:widowControl w:val="0"/>
        <w:topLinePunct/>
        <w:adjustRightInd/>
        <w:spacing w:line="56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MR，粪便当季利用率，单位为百分号（%）；粪便氮素单季利用率取值范围推荐为25%~30%，磷素单季利用率推荐为30%~35%。</w:t>
      </w:r>
    </w:p>
    <w:p>
      <w:pPr>
        <w:widowControl w:val="0"/>
        <w:topLinePunct/>
        <w:adjustRightInd/>
        <w:spacing w:line="56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经计算，以2021年为基准，长清区粪便氮养分可施用量为9863844.33kg，磷养分可施用量为2633137.56kg。</w:t>
      </w:r>
    </w:p>
    <w:p>
      <w:pPr>
        <w:ind w:firstLine="0" w:firstLineChars="0"/>
        <w:jc w:val="center"/>
        <w:rPr>
          <w:rFonts w:ascii="Times New Roman" w:hAnsi="Times New Roman" w:eastAsia="仿宋" w:cs="Times New Roman"/>
          <w:b/>
          <w:bCs/>
          <w:color w:val="auto"/>
        </w:rPr>
      </w:pPr>
      <w:r>
        <w:rPr>
          <w:rFonts w:ascii="Times New Roman" w:hAnsi="Times New Roman" w:cs="Times New Roman"/>
          <w:b/>
          <w:bCs/>
          <w:color w:val="auto"/>
          <w:sz w:val="24"/>
          <w:szCs w:val="21"/>
        </w:rPr>
        <w:t>表3.2-2</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长清区各类作物粪便养分可施用量（单位：kg/年）</w:t>
      </w:r>
    </w:p>
    <w:tbl>
      <w:tblPr>
        <w:tblStyle w:val="30"/>
        <w:tblW w:w="82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2072"/>
        <w:gridCol w:w="2072"/>
        <w:gridCol w:w="2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类型</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种类</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氮畜禽量</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磷畜禽量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大田作物</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小麦</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2658233.97</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738398.3</w:t>
            </w:r>
            <w:r>
              <w:rPr>
                <w:rFonts w:hint="eastAsia" w:ascii="Times New Roman" w:hAnsi="Times New Roman" w:cs="Times New Roman"/>
                <w:color w:val="auto"/>
                <w:kern w:val="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水稻</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3597.26</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1090.08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玉米</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2661236.71</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289264.8</w:t>
            </w:r>
            <w:r>
              <w:rPr>
                <w:rFonts w:hint="eastAsia" w:ascii="Times New Roman" w:hAnsi="Times New Roman" w:cs="Times New Roman"/>
                <w:color w:val="auto"/>
                <w:kern w:val="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谷子</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591257.12</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57051.13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大豆</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204525.65</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17706.62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棉花</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11718.84</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2537.41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薯类</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74370.92</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10907.73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蔬菜</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黄瓜</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66250.80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17745.75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番茄</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58806.00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14850.00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青椒</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76882.50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13441.88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茄子</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106335.00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26062.50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大白菜</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275805.00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107257.50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萝卜</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39060.00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6626.25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大葱</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20520.00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果树</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桃</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28024.92</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3669.93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葡萄</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3050.28</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1758.72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枣</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1252.08</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1043.40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苹果</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8148.60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1810.80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梨</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6797.61</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2772.08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樱桃</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65689.38</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28007.10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restart"/>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经济作物</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油料</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1111150.29</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114231.61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vMerge w:val="continue"/>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茶叶</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443750.40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50846.40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人工林地</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杨树</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1347381.00</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1122817.50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color w:val="auto"/>
                <w:kern w:val="0"/>
                <w:sz w:val="21"/>
                <w:szCs w:val="21"/>
              </w:rPr>
              <w:t>--</w:t>
            </w:r>
          </w:p>
        </w:tc>
        <w:tc>
          <w:tcPr>
            <w:tcW w:w="20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9863844.33</w:t>
            </w:r>
          </w:p>
        </w:tc>
        <w:tc>
          <w:tcPr>
            <w:tcW w:w="207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2633137.56</w:t>
            </w:r>
          </w:p>
        </w:tc>
      </w:tr>
    </w:tbl>
    <w:p>
      <w:pPr>
        <w:ind w:firstLine="0" w:firstLineChars="0"/>
        <w:jc w:val="center"/>
        <w:rPr>
          <w:rFonts w:ascii="Times New Roman" w:hAnsi="Times New Roman" w:eastAsia="仿宋" w:cs="Times New Roman"/>
          <w:b/>
          <w:bCs/>
          <w:color w:val="auto"/>
        </w:rPr>
        <w:sectPr>
          <w:headerReference r:id="rId20" w:type="default"/>
          <w:footerReference r:id="rId21" w:type="default"/>
          <w:pgSz w:w="11906" w:h="16838"/>
          <w:pgMar w:top="1985" w:right="1531" w:bottom="1814" w:left="1531" w:header="851" w:footer="1304" w:gutter="0"/>
          <w:cols w:space="425" w:num="1"/>
          <w:docGrid w:type="lines" w:linePitch="381" w:charSpace="0"/>
        </w:sectPr>
      </w:pPr>
    </w:p>
    <w:p>
      <w:pPr>
        <w:spacing w:line="240" w:lineRule="auto"/>
        <w:ind w:firstLine="0" w:firstLineChars="0"/>
        <w:jc w:val="center"/>
        <w:rPr>
          <w:rFonts w:ascii="Times New Roman" w:hAnsi="Times New Roman" w:cs="Times New Roman"/>
          <w:b/>
          <w:bCs/>
          <w:color w:val="auto"/>
          <w:sz w:val="24"/>
          <w:szCs w:val="21"/>
        </w:rPr>
      </w:pPr>
      <w:r>
        <w:rPr>
          <w:rFonts w:ascii="Times New Roman" w:hAnsi="Times New Roman" w:cs="Times New Roman"/>
          <w:b/>
          <w:bCs/>
          <w:color w:val="auto"/>
          <w:sz w:val="24"/>
          <w:szCs w:val="21"/>
        </w:rPr>
        <w:t>表3.2-3</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全区各</w:t>
      </w:r>
      <w:r>
        <w:rPr>
          <w:rFonts w:hint="eastAsia" w:ascii="Times New Roman" w:hAnsi="Times New Roman" w:cs="Times New Roman"/>
          <w:b/>
          <w:bCs/>
          <w:color w:val="auto"/>
          <w:sz w:val="24"/>
          <w:szCs w:val="21"/>
        </w:rPr>
        <w:t>镇街</w:t>
      </w:r>
      <w:r>
        <w:rPr>
          <w:rFonts w:ascii="Times New Roman" w:hAnsi="Times New Roman" w:cs="Times New Roman"/>
          <w:b/>
          <w:bCs/>
          <w:color w:val="auto"/>
          <w:sz w:val="24"/>
          <w:szCs w:val="21"/>
        </w:rPr>
        <w:t>氮粪便养分可施用量（单位：kg/年）</w:t>
      </w:r>
    </w:p>
    <w:tbl>
      <w:tblPr>
        <w:tblStyle w:val="30"/>
        <w:tblW w:w="14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00"/>
        <w:gridCol w:w="1335"/>
        <w:gridCol w:w="1365"/>
        <w:gridCol w:w="1275"/>
        <w:gridCol w:w="1125"/>
        <w:gridCol w:w="1172"/>
        <w:gridCol w:w="1410"/>
        <w:gridCol w:w="1603"/>
        <w:gridCol w:w="1363"/>
        <w:gridCol w:w="1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种类</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小麦</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401352</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570630</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403348</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127839</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176861</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336300</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161745</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204886</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235059</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水稻</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350</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837</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374</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173</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282</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584</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262</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277</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404</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玉米</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322286</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580905</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365465</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127983</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196138</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381255</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193663</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192460</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260822</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谷子</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57543</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137498</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61512</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28435</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46389</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95953</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43027</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45572</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66384</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8945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大豆</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19905</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47563</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21278</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9836</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16047</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33192</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14884</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15764</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22963</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棉花</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1141</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2725</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1219</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564</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919</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1902</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853</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903</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1316</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薯类</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7238</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17295</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7737</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3577</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5835</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12069</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5412</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5732</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8350</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黄瓜</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6448</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15407</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6893</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3186</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5198</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10752</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4821</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5106</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7438</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番茄</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5723</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13675</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6118</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2828</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4614</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9543</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4279</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4533</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6603</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青椒</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7482</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17879</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7999</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3697</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6032</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12477</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5595</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5926</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8632</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茄子</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10349</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24728</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11063</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5114</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8343</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17257</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7738</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8196</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11939</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大白菜</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26842</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64139</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28694</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13264</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21639</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44759</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20071</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21258</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30966</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萝卜</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3801</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9083</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4064</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1878</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3065</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6339</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2842</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3011</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4386</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大葱</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1997</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4772</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2135</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987</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1610</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3330</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1493</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1582</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2304</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桃</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826</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245</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1030</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5759</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1864</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1499</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3454</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2979</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7992</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葡萄</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90</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112</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627</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203</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163</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376</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324</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870</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枣</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46</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257</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83</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67</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154</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133</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357</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苹果</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240</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71</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300</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1674</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542</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436</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1004</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866</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2324</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梨</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200</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59</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250</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1397</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452</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364</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838</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723</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1938</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樱桃</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1936</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575</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2415</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13498</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4370</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3514</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8097</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6983</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18732</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5569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油料</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108141</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258400</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115600</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53437</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87179</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180325</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80860</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85643</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124756</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茶叶</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443750</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杨树</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93777</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85228</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75854</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174026</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105020</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120072</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347082</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103656</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121928</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120737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1077704</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1851752</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1123506</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580036</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692685</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1272152</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1352300</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716513</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946463</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250729</w:t>
            </w:r>
          </w:p>
        </w:tc>
      </w:tr>
    </w:tbl>
    <w:p>
      <w:pPr>
        <w:spacing w:line="240" w:lineRule="auto"/>
        <w:ind w:firstLine="0" w:firstLineChars="0"/>
        <w:jc w:val="center"/>
        <w:rPr>
          <w:rFonts w:ascii="Times New Roman" w:hAnsi="Times New Roman" w:cs="Times New Roman"/>
          <w:b/>
          <w:bCs/>
          <w:color w:val="auto"/>
          <w:sz w:val="24"/>
          <w:szCs w:val="21"/>
        </w:rPr>
      </w:pPr>
      <w:r>
        <w:rPr>
          <w:rFonts w:ascii="Times New Roman" w:hAnsi="Times New Roman" w:cs="Times New Roman"/>
          <w:b/>
          <w:bCs/>
          <w:color w:val="auto"/>
          <w:sz w:val="24"/>
          <w:szCs w:val="21"/>
        </w:rPr>
        <w:t>表3.2-4</w:t>
      </w:r>
      <w:r>
        <w:rPr>
          <w:rFonts w:hint="eastAsia" w:ascii="Times New Roman" w:hAnsi="Times New Roman" w:cs="Times New Roman"/>
          <w:b/>
          <w:color w:val="auto"/>
          <w:sz w:val="24"/>
        </w:rPr>
        <w:t xml:space="preserve">  2021年</w:t>
      </w:r>
      <w:r>
        <w:rPr>
          <w:rFonts w:ascii="Times New Roman" w:hAnsi="Times New Roman" w:cs="Times New Roman"/>
          <w:b/>
          <w:bCs/>
          <w:color w:val="auto"/>
          <w:sz w:val="24"/>
          <w:szCs w:val="21"/>
        </w:rPr>
        <w:t>全区各镇街磷粪便养分可施用量（单位：kg/年）</w:t>
      </w:r>
    </w:p>
    <w:tbl>
      <w:tblPr>
        <w:tblStyle w:val="30"/>
        <w:tblW w:w="14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00"/>
        <w:gridCol w:w="1335"/>
        <w:gridCol w:w="1365"/>
        <w:gridCol w:w="1275"/>
        <w:gridCol w:w="1125"/>
        <w:gridCol w:w="1172"/>
        <w:gridCol w:w="1410"/>
        <w:gridCol w:w="1603"/>
        <w:gridCol w:w="1363"/>
        <w:gridCol w:w="1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种类</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小麦</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111487</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158508</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112041</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35511</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49128</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93417</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44929</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56913</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65294</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水稻</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106</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254</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113</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86</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177</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79</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84</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122</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玉米</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35031</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63142</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39724</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13911</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21319</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41441</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21050</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20920</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28350</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4376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谷子</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5552</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13267</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5935</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2744</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4476</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9259</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4152</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4397</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6405</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大豆</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1723</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4118</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1842</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852</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1389</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2874</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1289</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1365</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1988</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棉花</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247</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590</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264</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122</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199</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412</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185</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196</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285</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薯类</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1062</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2537</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1135</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525</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856</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1770</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794</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841</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1225</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黄瓜</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1727</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4127</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1846</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853</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1392</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2880</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1291</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1368</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1992</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番茄</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1445</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3453</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1545</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714</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1165</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2410</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1081</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1145</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1667</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青椒</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1308</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3126</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1398</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646</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1055</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2181</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978</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1036</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1509</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茄子</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2536</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6061</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2711</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1253</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2045</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4230</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1897</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2009</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2926</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大白菜</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10439</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24943</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11159</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5158</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8415</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17406</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7805</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8267</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12042</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萝卜</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645</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1541</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689</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319</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520</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1075</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482</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511</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744</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大葱</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315</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753</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337</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156</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254</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526</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236</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250</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364</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桃</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108</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135</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754</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244</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196</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452</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390</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1047</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葡萄</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65</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361</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117</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94</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217</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187</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502</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枣</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38</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214</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69</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56</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129</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298</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苹果</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67</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372</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97</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223</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193</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516</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梨</w:t>
            </w:r>
          </w:p>
        </w:tc>
        <w:tc>
          <w:tcPr>
            <w:tcW w:w="12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82</w:t>
            </w:r>
          </w:p>
        </w:tc>
        <w:tc>
          <w:tcPr>
            <w:tcW w:w="133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w:t>
            </w:r>
          </w:p>
        </w:tc>
        <w:tc>
          <w:tcPr>
            <w:tcW w:w="136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102</w:t>
            </w:r>
          </w:p>
        </w:tc>
        <w:tc>
          <w:tcPr>
            <w:tcW w:w="127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570</w:t>
            </w:r>
          </w:p>
        </w:tc>
        <w:tc>
          <w:tcPr>
            <w:tcW w:w="11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184</w:t>
            </w:r>
          </w:p>
        </w:tc>
        <w:tc>
          <w:tcPr>
            <w:tcW w:w="117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148</w:t>
            </w:r>
          </w:p>
        </w:tc>
        <w:tc>
          <w:tcPr>
            <w:tcW w:w="141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342</w:t>
            </w:r>
          </w:p>
        </w:tc>
        <w:tc>
          <w:tcPr>
            <w:tcW w:w="160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295</w:t>
            </w:r>
          </w:p>
        </w:tc>
        <w:tc>
          <w:tcPr>
            <w:tcW w:w="1363"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791</w:t>
            </w:r>
          </w:p>
        </w:tc>
        <w:tc>
          <w:tcPr>
            <w:tcW w:w="150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樱桃</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826</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245</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1030</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5755</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1863</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1498</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3452</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2977</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7987</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油料</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11117</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26565</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11884</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5494</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8962</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18538</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8313</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8805</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12825</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茶叶</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50846</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杨树</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78148</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71024</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63212</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145021</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87517</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100060</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289235</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86380</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101607</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100614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8" w:type="dxa"/>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w:t>
            </w:r>
          </w:p>
        </w:tc>
        <w:tc>
          <w:tcPr>
            <w:tcW w:w="120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264040</w:t>
            </w:r>
          </w:p>
        </w:tc>
        <w:tc>
          <w:tcPr>
            <w:tcW w:w="133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384350</w:t>
            </w:r>
          </w:p>
        </w:tc>
        <w:tc>
          <w:tcPr>
            <w:tcW w:w="136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257272</w:t>
            </w:r>
          </w:p>
        </w:tc>
        <w:tc>
          <w:tcPr>
            <w:tcW w:w="127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221357</w:t>
            </w:r>
          </w:p>
        </w:tc>
        <w:tc>
          <w:tcPr>
            <w:tcW w:w="1125"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191375</w:t>
            </w:r>
          </w:p>
        </w:tc>
        <w:tc>
          <w:tcPr>
            <w:tcW w:w="117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300745</w:t>
            </w:r>
          </w:p>
        </w:tc>
        <w:tc>
          <w:tcPr>
            <w:tcW w:w="1410"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439457</w:t>
            </w:r>
          </w:p>
        </w:tc>
        <w:tc>
          <w:tcPr>
            <w:tcW w:w="160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198640</w:t>
            </w:r>
          </w:p>
        </w:tc>
        <w:tc>
          <w:tcPr>
            <w:tcW w:w="1363"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250486</w:t>
            </w:r>
          </w:p>
        </w:tc>
        <w:tc>
          <w:tcPr>
            <w:tcW w:w="1502" w:type="dxa"/>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125412</w:t>
            </w:r>
          </w:p>
        </w:tc>
      </w:tr>
    </w:tbl>
    <w:p>
      <w:pPr>
        <w:adjustRightInd/>
        <w:ind w:firstLine="560"/>
        <w:rPr>
          <w:rFonts w:ascii="Times New Roman" w:hAnsi="Times New Roman" w:cs="Times New Roman"/>
          <w:color w:val="auto"/>
        </w:rPr>
        <w:sectPr>
          <w:pgSz w:w="16838" w:h="11906" w:orient="landscape"/>
          <w:pgMar w:top="1247" w:right="1814" w:bottom="1191" w:left="1701" w:header="720" w:footer="624" w:gutter="0"/>
          <w:cols w:space="0" w:num="1"/>
        </w:sectPr>
      </w:pPr>
    </w:p>
    <w:p>
      <w:pPr>
        <w:widowControl w:val="0"/>
        <w:adjustRightInd/>
        <w:spacing w:line="570" w:lineRule="exact"/>
        <w:ind w:firstLine="643"/>
        <w:jc w:val="both"/>
        <w:rPr>
          <w:rFonts w:ascii="Times New Roman" w:hAnsi="Times New Roman" w:cs="Times New Roman"/>
          <w:b/>
          <w:bCs/>
          <w:color w:val="auto"/>
          <w:sz w:val="32"/>
          <w:szCs w:val="32"/>
        </w:rPr>
      </w:pPr>
      <w:r>
        <w:rPr>
          <w:rFonts w:ascii="Times New Roman" w:hAnsi="Times New Roman" w:cs="Times New Roman"/>
          <w:b/>
          <w:bCs/>
          <w:color w:val="auto"/>
          <w:sz w:val="32"/>
          <w:szCs w:val="32"/>
        </w:rPr>
        <w:t>2.土地承载力测算</w:t>
      </w:r>
    </w:p>
    <w:p>
      <w:pPr>
        <w:widowControl w:val="0"/>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根据畜禽粪肥养分最大需求量测算结果，考虑畜禽粪污在收集、贮存、运输、施用等环节中的养分损失率，推算粪污养分理论需求量，通过猪当量氮磷营养元素排泄量，推算土地可承载猪当量养殖量（以存栏量计），即区域畜禽粪污土地承载力。</w:t>
      </w:r>
    </w:p>
    <w:p>
      <w:pPr>
        <w:widowControl w:val="0"/>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（1）畜禽粪便养分总量</w:t>
      </w:r>
    </w:p>
    <w:p>
      <w:pPr>
        <w:widowControl w:val="0"/>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根据畜禽养殖规模计算畜禽粪便总氮(磷)养分供给量</w:t>
      </w:r>
      <w:r>
        <w:rPr>
          <w:rFonts w:ascii="Times New Roman" w:hAnsi="Times New Roman" w:cs="Times New Roman"/>
          <w:i/>
          <w:color w:val="auto"/>
          <w:sz w:val="32"/>
          <w:szCs w:val="32"/>
        </w:rPr>
        <w:t>Q</w:t>
      </w:r>
      <w:r>
        <w:rPr>
          <w:rFonts w:ascii="Times New Roman" w:hAnsi="Times New Roman" w:cs="Times New Roman"/>
          <w:i/>
          <w:color w:val="auto"/>
          <w:sz w:val="32"/>
          <w:szCs w:val="32"/>
          <w:vertAlign w:val="subscript"/>
        </w:rPr>
        <w:t>r，p</w:t>
      </w:r>
      <w:r>
        <w:rPr>
          <w:rFonts w:ascii="Times New Roman" w:hAnsi="Times New Roman" w:cs="Times New Roman"/>
          <w:color w:val="auto"/>
          <w:sz w:val="32"/>
          <w:szCs w:val="32"/>
        </w:rPr>
        <w:t>，单位为吨每年，计算公式如下：</w:t>
      </w:r>
    </w:p>
    <w:p>
      <w:pPr>
        <w:widowControl w:val="0"/>
        <w:topLinePunct/>
        <w:adjustRightInd/>
        <w:spacing w:line="570" w:lineRule="exact"/>
        <w:ind w:firstLine="640"/>
        <w:jc w:val="both"/>
        <w:rPr>
          <w:rFonts w:ascii="Times New Roman" w:hAnsi="Times New Roman" w:cs="Times New Roman"/>
          <w:color w:val="auto"/>
          <w:sz w:val="32"/>
          <w:szCs w:val="32"/>
        </w:rPr>
      </w:pPr>
      <m:oMathPara>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rPr>
                <m:t>Q</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r,p</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m:t>
          </m:r>
          <m:nary>
            <m:naryPr>
              <m:chr m:val="∑"/>
              <m:limLoc m:val="undOvr"/>
              <m:subHide m:val="1"/>
              <m:supHide m:val="1"/>
              <m:ctrlPr>
                <w:rPr>
                  <w:rFonts w:ascii="Cambria Math" w:hAnsi="Cambria Math" w:cs="Times New Roman"/>
                  <w:i/>
                  <w:color w:val="auto"/>
                  <w:sz w:val="32"/>
                  <w:szCs w:val="32"/>
                  <w:vertAlign w:val="subscript"/>
                </w:rPr>
              </m:ctrlPr>
            </m:naryPr>
            <m:sub>
              <m:ctrlPr>
                <w:rPr>
                  <w:rFonts w:ascii="Cambria Math" w:hAnsi="Cambria Math" w:cs="Times New Roman"/>
                  <w:i/>
                  <w:color w:val="auto"/>
                  <w:sz w:val="32"/>
                  <w:szCs w:val="32"/>
                  <w:vertAlign w:val="subscript"/>
                </w:rPr>
              </m:ctrlPr>
            </m:sub>
            <m:sup>
              <m:ctrlPr>
                <w:rPr>
                  <w:rFonts w:ascii="Cambria Math" w:hAnsi="Cambria Math" w:cs="Times New Roman"/>
                  <w:i/>
                  <w:color w:val="auto"/>
                  <w:sz w:val="32"/>
                  <w:szCs w:val="32"/>
                  <w:vertAlign w:val="subscript"/>
                </w:rPr>
              </m:ctrlPr>
            </m:sup>
            <m:e>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AP</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r,i</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m:t>
              </m:r>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MP</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r,i</m:t>
                  </m:r>
                  <m:ctrlPr>
                    <w:rPr>
                      <w:rFonts w:ascii="Cambria Math" w:hAnsi="Cambria Math" w:cs="Times New Roman"/>
                      <w:i/>
                      <w:color w:val="auto"/>
                      <w:sz w:val="32"/>
                      <w:szCs w:val="32"/>
                      <w:vertAlign w:val="subscript"/>
                    </w:rPr>
                  </m:ctrlPr>
                </m:sub>
              </m:sSub>
              <m:r>
                <m:rPr/>
                <w:rPr>
                  <w:rFonts w:ascii="Cambria Math" w:hAnsi="Cambria Math" w:cs="Times New Roman"/>
                  <w:color w:val="auto"/>
                  <w:sz w:val="32"/>
                  <w:szCs w:val="32"/>
                  <w:vertAlign w:val="subscript"/>
                </w:rPr>
                <m:t>×365×</m:t>
              </m:r>
              <m:sSup>
                <m:sSupPr>
                  <m:ctrlPr>
                    <w:rPr>
                      <w:rFonts w:ascii="Cambria Math" w:hAnsi="Cambria Math" w:cs="Times New Roman"/>
                      <w:i/>
                      <w:color w:val="auto"/>
                      <w:sz w:val="32"/>
                      <w:szCs w:val="32"/>
                      <w:vertAlign w:val="subscript"/>
                    </w:rPr>
                  </m:ctrlPr>
                </m:sSupPr>
                <m:e>
                  <m:r>
                    <m:rPr/>
                    <w:rPr>
                      <w:rFonts w:ascii="Cambria Math" w:hAnsi="Cambria Math" w:cs="Times New Roman"/>
                      <w:color w:val="auto"/>
                      <w:sz w:val="32"/>
                      <w:szCs w:val="32"/>
                      <w:vertAlign w:val="subscript"/>
                    </w:rPr>
                    <m:t>10</m:t>
                  </m:r>
                  <m:ctrlPr>
                    <w:rPr>
                      <w:rFonts w:ascii="Cambria Math" w:hAnsi="Cambria Math" w:cs="Times New Roman"/>
                      <w:i/>
                      <w:color w:val="auto"/>
                      <w:sz w:val="32"/>
                      <w:szCs w:val="32"/>
                      <w:vertAlign w:val="subscript"/>
                    </w:rPr>
                  </m:ctrlPr>
                </m:e>
                <m:sup>
                  <m:r>
                    <m:rPr/>
                    <w:rPr>
                      <w:rFonts w:ascii="Cambria Math" w:hAnsi="Cambria Math" w:cs="Times New Roman"/>
                      <w:color w:val="auto"/>
                      <w:sz w:val="32"/>
                      <w:szCs w:val="32"/>
                      <w:vertAlign w:val="subscript"/>
                    </w:rPr>
                    <m:t>−6</m:t>
                  </m:r>
                  <m:ctrlPr>
                    <w:rPr>
                      <w:rFonts w:ascii="Cambria Math" w:hAnsi="Cambria Math" w:cs="Times New Roman"/>
                      <w:i/>
                      <w:color w:val="auto"/>
                      <w:sz w:val="32"/>
                      <w:szCs w:val="32"/>
                      <w:vertAlign w:val="subscript"/>
                    </w:rPr>
                  </m:ctrlPr>
                </m:sup>
              </m:sSup>
              <m:ctrlPr>
                <w:rPr>
                  <w:rFonts w:ascii="Cambria Math" w:hAnsi="Cambria Math" w:cs="Times New Roman"/>
                  <w:i/>
                  <w:color w:val="auto"/>
                  <w:sz w:val="32"/>
                  <w:szCs w:val="32"/>
                  <w:vertAlign w:val="subscript"/>
                </w:rPr>
              </m:ctrlPr>
            </m:e>
          </m:nary>
        </m:oMath>
      </m:oMathPara>
    </w:p>
    <w:p>
      <w:pPr>
        <w:widowControl w:val="0"/>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式中:</w:t>
      </w:r>
    </w:p>
    <w:p>
      <w:pPr>
        <w:widowControl w:val="0"/>
        <w:topLinePunct/>
        <w:adjustRightInd/>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AP</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r,i</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，边界内第i种动物年均存栏量的数值，单位为头或只；</w:t>
      </w:r>
    </w:p>
    <w:p>
      <w:pPr>
        <w:widowControl w:val="0"/>
        <w:topLinePunct/>
        <w:adjustRightInd/>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MP</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r,i</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，第i种动物粪便中氮(磷)日排泄量，单位为克每天每头或每只；根据《畜禽粪便土地承载力测算方法》（NY/T3877-2021），主要畜禽氮（磷）排泄量推荐值见表3.2-5。</w:t>
      </w:r>
    </w:p>
    <w:p>
      <w:pPr>
        <w:widowControl w:val="0"/>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经计算，以2021年为基准，长清区粪便养分氮元素总量为</w:t>
      </w:r>
      <w:r>
        <w:rPr>
          <w:rFonts w:hint="eastAsia" w:ascii="Times New Roman" w:hAnsi="Times New Roman" w:cs="Times New Roman"/>
          <w:color w:val="auto"/>
          <w:sz w:val="32"/>
          <w:szCs w:val="32"/>
        </w:rPr>
        <w:t>2983.59</w:t>
      </w:r>
      <w:r>
        <w:rPr>
          <w:rFonts w:ascii="Times New Roman" w:hAnsi="Times New Roman" w:cs="Times New Roman"/>
          <w:color w:val="auto"/>
          <w:sz w:val="32"/>
          <w:szCs w:val="32"/>
        </w:rPr>
        <w:t>吨，磷元素总量为</w:t>
      </w:r>
      <w:r>
        <w:rPr>
          <w:rFonts w:hint="eastAsia" w:ascii="Times New Roman" w:hAnsi="Times New Roman" w:cs="Times New Roman"/>
          <w:color w:val="auto"/>
          <w:sz w:val="32"/>
          <w:szCs w:val="32"/>
        </w:rPr>
        <w:t>450.94</w:t>
      </w:r>
      <w:r>
        <w:rPr>
          <w:rFonts w:ascii="Times New Roman" w:hAnsi="Times New Roman" w:cs="Times New Roman"/>
          <w:color w:val="auto"/>
          <w:sz w:val="32"/>
          <w:szCs w:val="32"/>
        </w:rPr>
        <w:t>吨。</w:t>
      </w:r>
    </w:p>
    <w:p>
      <w:pPr>
        <w:adjustRightInd/>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bCs/>
          <w:color w:val="auto"/>
          <w:sz w:val="24"/>
          <w:szCs w:val="21"/>
        </w:rPr>
        <w:t>表3.2-5</w:t>
      </w:r>
      <w:r>
        <w:rPr>
          <w:rFonts w:ascii="Times New Roman" w:hAnsi="Times New Roman" w:cs="Times New Roman"/>
          <w:b/>
          <w:color w:val="auto"/>
          <w:sz w:val="24"/>
        </w:rPr>
        <w:t>不同畜禽氮磷排泄量推荐</w:t>
      </w:r>
    </w:p>
    <w:tbl>
      <w:tblPr>
        <w:tblStyle w:val="30"/>
        <w:tblpPr w:leftFromText="180" w:rightFromText="180" w:vertAnchor="text" w:horzAnchor="page" w:tblpX="1705" w:tblpY="43"/>
        <w:tblOverlap w:val="never"/>
        <w:tblW w:w="885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2212"/>
        <w:gridCol w:w="2212"/>
        <w:gridCol w:w="2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畜禽</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参考体重，kg</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氮(N)</w:t>
            </w:r>
          </w:p>
        </w:tc>
        <w:tc>
          <w:tcPr>
            <w:tcW w:w="22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磷（IP）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猪</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70</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w:t>
            </w:r>
          </w:p>
        </w:tc>
        <w:tc>
          <w:tcPr>
            <w:tcW w:w="22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奶牛</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550</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196</w:t>
            </w:r>
          </w:p>
        </w:tc>
        <w:tc>
          <w:tcPr>
            <w:tcW w:w="22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肉牛</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400</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109</w:t>
            </w:r>
          </w:p>
        </w:tc>
        <w:tc>
          <w:tcPr>
            <w:tcW w:w="22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家禽</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w:t>
            </w:r>
          </w:p>
        </w:tc>
        <w:tc>
          <w:tcPr>
            <w:tcW w:w="22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山羊</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11.3</w:t>
            </w:r>
          </w:p>
        </w:tc>
        <w:tc>
          <w:tcPr>
            <w:tcW w:w="22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绵羊</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w:t>
            </w:r>
          </w:p>
        </w:tc>
        <w:tc>
          <w:tcPr>
            <w:tcW w:w="221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12.2</w:t>
            </w:r>
          </w:p>
        </w:tc>
        <w:tc>
          <w:tcPr>
            <w:tcW w:w="2214"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0.92</w:t>
            </w:r>
          </w:p>
        </w:tc>
      </w:tr>
    </w:tbl>
    <w:p>
      <w:pPr>
        <w:adjustRightInd/>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表3.2-6</w:t>
      </w:r>
      <w:r>
        <w:rPr>
          <w:rFonts w:hint="eastAsia" w:ascii="Times New Roman" w:hAnsi="Times New Roman" w:cs="Times New Roman"/>
          <w:b/>
          <w:color w:val="auto"/>
          <w:sz w:val="24"/>
        </w:rPr>
        <w:t xml:space="preserve">  2021年</w:t>
      </w:r>
      <w:r>
        <w:rPr>
          <w:rFonts w:ascii="Times New Roman" w:hAnsi="Times New Roman" w:cs="Times New Roman"/>
          <w:b/>
          <w:color w:val="auto"/>
          <w:sz w:val="24"/>
        </w:rPr>
        <w:t>全区全年养殖信息表（存栏）（单位：头/羽/只）</w:t>
      </w:r>
    </w:p>
    <w:tbl>
      <w:tblPr>
        <w:tblStyle w:val="30"/>
        <w:tblpPr w:leftFromText="180" w:rightFromText="180" w:vertAnchor="text" w:tblpXSpec="center" w:tblpY="1"/>
        <w:tblOverlap w:val="never"/>
        <w:tblW w:w="88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220"/>
        <w:gridCol w:w="1220"/>
        <w:gridCol w:w="1220"/>
        <w:gridCol w:w="1220"/>
        <w:gridCol w:w="1220"/>
        <w:gridCol w:w="12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蛋禽</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肉禽</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奶牛</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肉牛</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山羊</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生猪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133000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805</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600</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206300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50000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1225</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52220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89500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60000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840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300</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158400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317000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490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470</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271800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193800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310000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240</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8620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300800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80100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80000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5860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11000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830</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66000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总计</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1364600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973100</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6215</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3595</w:t>
            </w:r>
          </w:p>
        </w:tc>
        <w:tc>
          <w:tcPr>
            <w:tcW w:w="122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2440</w:t>
            </w:r>
          </w:p>
        </w:tc>
        <w:tc>
          <w:tcPr>
            <w:tcW w:w="1221"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124380</w:t>
            </w:r>
          </w:p>
        </w:tc>
      </w:tr>
    </w:tbl>
    <w:p>
      <w:pPr>
        <w:adjustRightInd/>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表3.2-7</w:t>
      </w:r>
      <w:r>
        <w:rPr>
          <w:rFonts w:hint="eastAsia" w:ascii="Times New Roman" w:hAnsi="Times New Roman" w:cs="Times New Roman"/>
          <w:b/>
          <w:color w:val="auto"/>
          <w:sz w:val="24"/>
        </w:rPr>
        <w:t xml:space="preserve">  2021年</w:t>
      </w:r>
      <w:r>
        <w:rPr>
          <w:rFonts w:ascii="Times New Roman" w:hAnsi="Times New Roman" w:cs="Times New Roman"/>
          <w:b/>
          <w:color w:val="auto"/>
          <w:sz w:val="24"/>
        </w:rPr>
        <w:t>畜禽粪便养分总量（氮元素）（单位：吨）</w:t>
      </w:r>
    </w:p>
    <w:tbl>
      <w:tblPr>
        <w:tblStyle w:val="30"/>
        <w:tblW w:w="8835" w:type="dxa"/>
        <w:tblInd w:w="1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222"/>
        <w:gridCol w:w="1222"/>
        <w:gridCol w:w="1222"/>
        <w:gridCol w:w="1222"/>
        <w:gridCol w:w="1222"/>
        <w:gridCol w:w="12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蛋禽</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肉禽</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奶牛</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肉牛</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山羊</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生猪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58.25</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150.23</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32.03</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2.47</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83.22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90.36</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21.90</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87.64</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27.85</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571.81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39.20</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26.28</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171.70</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33.42</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1.24</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69.38</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138.85</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35.05</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0.00</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1.94</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119.05</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4.38</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5.97</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361.35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84.88</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135.78</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15.91</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0.99</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94.39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131.75</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35.08</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23.87</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95.27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35.04</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4.82</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3.98</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3.42</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28.91</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总计</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597.69</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426.22</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444.62</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143.03</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10.06</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1361.97</w:t>
            </w:r>
          </w:p>
        </w:tc>
      </w:tr>
    </w:tbl>
    <w:p>
      <w:pPr>
        <w:adjustRightInd/>
        <w:spacing w:beforeLines="50" w:line="240" w:lineRule="auto"/>
        <w:ind w:firstLine="0" w:firstLineChars="0"/>
        <w:jc w:val="center"/>
        <w:rPr>
          <w:rFonts w:hint="eastAsia" w:ascii="Times New Roman" w:hAnsi="Times New Roman" w:cs="Times New Roman"/>
          <w:b/>
          <w:color w:val="auto"/>
          <w:sz w:val="24"/>
        </w:rPr>
      </w:pPr>
    </w:p>
    <w:p>
      <w:pPr>
        <w:pStyle w:val="2"/>
        <w:rPr>
          <w:rFonts w:hint="eastAsia"/>
        </w:rPr>
      </w:pPr>
    </w:p>
    <w:p>
      <w:pPr>
        <w:adjustRightInd/>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表3.2-8</w:t>
      </w:r>
      <w:r>
        <w:rPr>
          <w:rFonts w:hint="eastAsia" w:ascii="Times New Roman" w:hAnsi="Times New Roman" w:cs="Times New Roman"/>
          <w:b/>
          <w:color w:val="auto"/>
          <w:sz w:val="24"/>
        </w:rPr>
        <w:t xml:space="preserve">  2021年</w:t>
      </w:r>
      <w:r>
        <w:rPr>
          <w:rFonts w:ascii="Times New Roman" w:hAnsi="Times New Roman" w:cs="Times New Roman"/>
          <w:b/>
          <w:color w:val="auto"/>
          <w:sz w:val="24"/>
        </w:rPr>
        <w:t>畜禽粪便养分总量（磷元素）（单位：吨）</w:t>
      </w:r>
    </w:p>
    <w:tbl>
      <w:tblPr>
        <w:tblStyle w:val="30"/>
        <w:tblW w:w="8835" w:type="dxa"/>
        <w:tblInd w:w="1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222"/>
        <w:gridCol w:w="1222"/>
        <w:gridCol w:w="1222"/>
        <w:gridCol w:w="1222"/>
        <w:gridCol w:w="1222"/>
        <w:gridCol w:w="12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蛋禽</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肉禽</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奶牛</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肉牛</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山羊</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生猪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8.74</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24.53</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4.11</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0.51</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13.55</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3.29</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14.31</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3.58</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85.77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5.88</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3.94</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28.03</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4.29</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0.26</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10.41</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20.83</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5.72</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0.40</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17.86</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0.66</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0.77</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12.73</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20.37</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2.04</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0.21</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19.76</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5.26</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3.07</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5.26</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0.72</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0.51</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0.71</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4.34</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总计</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89.65</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63.93</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72.59</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18.37</w:t>
            </w:r>
          </w:p>
        </w:tc>
        <w:tc>
          <w:tcPr>
            <w:tcW w:w="1222"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2.09</w:t>
            </w:r>
          </w:p>
        </w:tc>
        <w:tc>
          <w:tcPr>
            <w:tcW w:w="122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204.29</w:t>
            </w:r>
          </w:p>
        </w:tc>
      </w:tr>
    </w:tbl>
    <w:p>
      <w:pPr>
        <w:widowControl w:val="0"/>
        <w:topLinePunct/>
        <w:adjustRightInd/>
        <w:spacing w:line="570" w:lineRule="exact"/>
        <w:ind w:firstLine="640"/>
        <w:rPr>
          <w:rFonts w:ascii="Times New Roman" w:hAnsi="Times New Roman" w:cs="Times New Roman"/>
          <w:color w:val="auto"/>
          <w:sz w:val="32"/>
          <w:szCs w:val="32"/>
        </w:rPr>
      </w:pPr>
      <w:r>
        <w:rPr>
          <w:rFonts w:ascii="Times New Roman" w:hAnsi="Times New Roman" w:cs="Times New Roman"/>
          <w:color w:val="auto"/>
          <w:sz w:val="32"/>
          <w:szCs w:val="32"/>
        </w:rPr>
        <w:t>（2）畜禽粪便养分可收集量</w:t>
      </w:r>
    </w:p>
    <w:p>
      <w:pPr>
        <w:widowControl w:val="0"/>
        <w:topLinePunct/>
        <w:adjustRightInd/>
        <w:spacing w:afterLines="50" w:line="570" w:lineRule="exact"/>
        <w:ind w:firstLine="640"/>
        <w:rPr>
          <w:rFonts w:ascii="Times New Roman" w:hAnsi="Times New Roman" w:cs="Times New Roman"/>
          <w:color w:val="auto"/>
          <w:sz w:val="32"/>
          <w:szCs w:val="32"/>
        </w:rPr>
      </w:pPr>
      <w:r>
        <w:rPr>
          <w:rFonts w:ascii="Times New Roman" w:hAnsi="Times New Roman" w:cs="Times New Roman"/>
          <w:color w:val="auto"/>
          <w:sz w:val="32"/>
          <w:szCs w:val="32"/>
        </w:rPr>
        <w:t>畜禽粪便氮(磷)养分可收集量以</w:t>
      </w:r>
      <w:r>
        <w:rPr>
          <w:rFonts w:ascii="Times New Roman" w:hAnsi="Times New Roman" w:cs="Times New Roman"/>
          <w:i/>
          <w:color w:val="auto"/>
          <w:sz w:val="32"/>
          <w:szCs w:val="32"/>
        </w:rPr>
        <w:t>Q</w:t>
      </w:r>
      <w:r>
        <w:rPr>
          <w:rFonts w:ascii="Times New Roman" w:hAnsi="Times New Roman" w:cs="Times New Roman"/>
          <w:i/>
          <w:color w:val="auto"/>
          <w:sz w:val="32"/>
          <w:szCs w:val="32"/>
          <w:vertAlign w:val="subscript"/>
        </w:rPr>
        <w:t>r，C</w:t>
      </w:r>
      <w:r>
        <w:rPr>
          <w:rFonts w:ascii="Times New Roman" w:hAnsi="Times New Roman" w:cs="Times New Roman"/>
          <w:color w:val="auto"/>
          <w:sz w:val="32"/>
          <w:szCs w:val="32"/>
        </w:rPr>
        <w:t>表示，单位为吨每年，计算公式如下：</w:t>
      </w:r>
    </w:p>
    <w:p>
      <w:pPr>
        <w:topLinePunct/>
        <w:adjustRightInd/>
        <w:ind w:firstLine="560"/>
        <w:rPr>
          <w:rFonts w:ascii="Times New Roman" w:hAnsi="Times New Roman" w:cs="Times New Roman"/>
          <w:color w:val="auto"/>
          <w:szCs w:val="28"/>
        </w:rPr>
      </w:pPr>
      <m:oMathPara>
        <m:oMath>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rPr>
                <m:t>Q</m:t>
              </m:r>
              <m:ctrlPr>
                <w:rPr>
                  <w:rFonts w:ascii="Cambria Math" w:hAnsi="Cambria Math" w:cs="Times New Roman"/>
                  <w:i/>
                  <w:color w:val="auto"/>
                  <w:szCs w:val="28"/>
                  <w:vertAlign w:val="subscript"/>
                </w:rPr>
              </m:ctrlPr>
            </m:e>
            <m:sub>
              <m:r>
                <m:rPr/>
                <w:rPr>
                  <w:rFonts w:ascii="Cambria Math" w:hAnsi="Cambria Math" w:cs="Times New Roman"/>
                  <w:color w:val="auto"/>
                  <w:szCs w:val="28"/>
                  <w:vertAlign w:val="subscript"/>
                </w:rPr>
                <m:t>r,C</m:t>
              </m:r>
              <m:r>
                <m:rPr>
                  <m:sty m:val="p"/>
                </m:rPr>
                <w:rPr>
                  <w:rFonts w:ascii="Cambria Math" w:hAnsi="Cambria Math" w:cs="Times New Roman"/>
                  <w:color w:val="auto"/>
                  <w:szCs w:val="28"/>
                  <w:vertAlign w:val="subscript"/>
                </w:rPr>
                <m:t>,i</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nary>
            <m:naryPr>
              <m:chr m:val="∑"/>
              <m:limLoc m:val="undOvr"/>
              <m:subHide m:val="1"/>
              <m:supHide m:val="1"/>
              <m:ctrlPr>
                <w:rPr>
                  <w:rFonts w:ascii="Cambria Math" w:hAnsi="Cambria Math" w:cs="Times New Roman"/>
                  <w:i/>
                  <w:color w:val="auto"/>
                  <w:szCs w:val="28"/>
                  <w:vertAlign w:val="subscript"/>
                </w:rPr>
              </m:ctrlPr>
            </m:naryPr>
            <m:sub>
              <m:ctrlPr>
                <w:rPr>
                  <w:rFonts w:ascii="Cambria Math" w:hAnsi="Cambria Math" w:cs="Times New Roman"/>
                  <w:i/>
                  <w:color w:val="auto"/>
                  <w:szCs w:val="28"/>
                  <w:vertAlign w:val="subscript"/>
                </w:rPr>
              </m:ctrlPr>
            </m:sub>
            <m:sup>
              <m:ctrlPr>
                <w:rPr>
                  <w:rFonts w:ascii="Cambria Math" w:hAnsi="Cambria Math" w:cs="Times New Roman"/>
                  <w:i/>
                  <w:color w:val="auto"/>
                  <w:szCs w:val="28"/>
                  <w:vertAlign w:val="subscript"/>
                </w:rPr>
              </m:ctrlPr>
            </m:sup>
            <m:e>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Q</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r,p,i</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PC</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i,j</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PL</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j</m:t>
                  </m:r>
                  <m:ctrlPr>
                    <w:rPr>
                      <w:rFonts w:ascii="Cambria Math" w:hAnsi="Cambria Math" w:cs="Times New Roman"/>
                      <w:i/>
                      <w:color w:val="auto"/>
                      <w:szCs w:val="28"/>
                      <w:vertAlign w:val="subscript"/>
                    </w:rPr>
                  </m:ctrlPr>
                </m:sub>
              </m:sSub>
              <m:ctrlPr>
                <w:rPr>
                  <w:rFonts w:ascii="Cambria Math" w:hAnsi="Cambria Math" w:cs="Times New Roman"/>
                  <w:i/>
                  <w:color w:val="auto"/>
                  <w:szCs w:val="28"/>
                  <w:vertAlign w:val="subscript"/>
                </w:rPr>
              </m:ctrlPr>
            </m:e>
          </m:nary>
        </m:oMath>
      </m:oMathPara>
    </w:p>
    <w:p>
      <w:pPr>
        <w:topLinePunct/>
        <w:adjustRightInd/>
        <w:ind w:firstLine="560"/>
        <w:rPr>
          <w:rFonts w:ascii="Times New Roman" w:hAnsi="Times New Roman" w:cs="Times New Roman"/>
          <w:color w:val="auto"/>
          <w:szCs w:val="28"/>
        </w:rPr>
      </w:pPr>
      <m:oMathPara>
        <m:oMath>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rPr>
                <m:t>Q</m:t>
              </m:r>
              <m:ctrlPr>
                <w:rPr>
                  <w:rFonts w:ascii="Cambria Math" w:hAnsi="Cambria Math" w:cs="Times New Roman"/>
                  <w:i/>
                  <w:color w:val="auto"/>
                  <w:szCs w:val="28"/>
                  <w:vertAlign w:val="subscript"/>
                </w:rPr>
              </m:ctrlPr>
            </m:e>
            <m:sub>
              <m:r>
                <m:rPr/>
                <w:rPr>
                  <w:rFonts w:ascii="Cambria Math" w:hAnsi="Cambria Math" w:cs="Times New Roman"/>
                  <w:color w:val="auto"/>
                  <w:szCs w:val="28"/>
                  <w:vertAlign w:val="subscript"/>
                </w:rPr>
                <m:t>r,C</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nary>
            <m:naryPr>
              <m:chr m:val="∑"/>
              <m:limLoc m:val="undOvr"/>
              <m:subHide m:val="1"/>
              <m:supHide m:val="1"/>
              <m:ctrlPr>
                <w:rPr>
                  <w:rFonts w:ascii="Cambria Math" w:hAnsi="Cambria Math" w:cs="Times New Roman"/>
                  <w:i/>
                  <w:color w:val="auto"/>
                  <w:szCs w:val="28"/>
                  <w:vertAlign w:val="subscript"/>
                </w:rPr>
              </m:ctrlPr>
            </m:naryPr>
            <m:sub>
              <m:ctrlPr>
                <w:rPr>
                  <w:rFonts w:ascii="Cambria Math" w:hAnsi="Cambria Math" w:cs="Times New Roman"/>
                  <w:i/>
                  <w:color w:val="auto"/>
                  <w:szCs w:val="28"/>
                  <w:vertAlign w:val="subscript"/>
                </w:rPr>
              </m:ctrlPr>
            </m:sub>
            <m:sup>
              <m:ctrlPr>
                <w:rPr>
                  <w:rFonts w:ascii="Cambria Math" w:hAnsi="Cambria Math" w:cs="Times New Roman"/>
                  <w:i/>
                  <w:color w:val="auto"/>
                  <w:szCs w:val="28"/>
                  <w:vertAlign w:val="subscript"/>
                </w:rPr>
              </m:ctrlPr>
            </m:sup>
            <m:e>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Q</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r,C,i</m:t>
                  </m:r>
                  <m:ctrlPr>
                    <w:rPr>
                      <w:rFonts w:ascii="Cambria Math" w:hAnsi="Cambria Math" w:cs="Times New Roman"/>
                      <w:i/>
                      <w:color w:val="auto"/>
                      <w:szCs w:val="28"/>
                      <w:vertAlign w:val="subscript"/>
                    </w:rPr>
                  </m:ctrlPr>
                </m:sub>
              </m:sSub>
              <m:ctrlPr>
                <w:rPr>
                  <w:rFonts w:ascii="Cambria Math" w:hAnsi="Cambria Math" w:cs="Times New Roman"/>
                  <w:i/>
                  <w:color w:val="auto"/>
                  <w:szCs w:val="28"/>
                  <w:vertAlign w:val="subscript"/>
                </w:rPr>
              </m:ctrlPr>
            </m:e>
          </m:nary>
        </m:oMath>
      </m:oMathPara>
    </w:p>
    <w:p>
      <w:pPr>
        <w:widowControl w:val="0"/>
        <w:topLinePunct/>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式中:</w:t>
      </w:r>
    </w:p>
    <w:p>
      <w:pPr>
        <w:widowControl w:val="0"/>
        <w:topLinePunct/>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rPr>
              <m:t>Q</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r,C</m:t>
            </m:r>
            <m:r>
              <m:rPr>
                <m:sty m:val="p"/>
              </m:rPr>
              <w:rPr>
                <w:rFonts w:ascii="Cambria Math" w:hAnsi="Cambria Math" w:cs="Times New Roman"/>
                <w:color w:val="auto"/>
                <w:sz w:val="32"/>
                <w:szCs w:val="32"/>
                <w:vertAlign w:val="subscript"/>
              </w:rPr>
              <m:t>,i</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，边界内第i种畜禽粪便养分可收集量的数值，单位为吨每年；</w:t>
      </w:r>
    </w:p>
    <w:p>
      <w:pPr>
        <w:widowControl w:val="0"/>
        <w:topLinePunct/>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Q</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r,p,i</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，边界内第i种畜禽粪便养分产生量的数值，单位为吨每年；</w:t>
      </w:r>
    </w:p>
    <w:p>
      <w:pPr>
        <w:widowControl w:val="0"/>
        <w:topLinePunct/>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PC</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i,j</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，边界内第i种动物在第j种清粪方式所占比例，单位为百分号(%)，该比例根据调研实际获得；</w:t>
      </w:r>
    </w:p>
    <w:p>
      <w:pPr>
        <w:widowControl w:val="0"/>
        <w:topLinePunct/>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PL</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j</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，第j种清粪方式氮(磷)养分收集率，单位为百分号(%)。</w:t>
      </w:r>
    </w:p>
    <w:p>
      <w:pPr>
        <w:widowControl w:val="0"/>
        <w:topLinePunct/>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长清区规模养殖场和</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采用的清粪方式主要为干清粪。根据《畜禽粪便土地承载力测算方法》（NY/T3877-2021），主要清粪方式粪便养分收集率推荐值见表3.2-9。</w:t>
      </w:r>
    </w:p>
    <w:p>
      <w:pPr>
        <w:widowControl w:val="0"/>
        <w:topLinePunct/>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经计算，以2021年为基准，长清区粪便养分中氮元素可收集量为</w:t>
      </w:r>
      <w:r>
        <w:rPr>
          <w:rFonts w:hint="eastAsia" w:ascii="Times New Roman" w:hAnsi="Times New Roman" w:cs="Times New Roman"/>
          <w:color w:val="auto"/>
          <w:sz w:val="32"/>
          <w:szCs w:val="32"/>
        </w:rPr>
        <w:t>2625.55</w:t>
      </w:r>
      <w:r>
        <w:rPr>
          <w:rFonts w:ascii="Times New Roman" w:hAnsi="Times New Roman" w:cs="Times New Roman"/>
          <w:color w:val="auto"/>
          <w:sz w:val="32"/>
          <w:szCs w:val="32"/>
        </w:rPr>
        <w:t>吨，磷元素可收集量为</w:t>
      </w:r>
      <w:r>
        <w:rPr>
          <w:rFonts w:hint="eastAsia" w:ascii="Times New Roman" w:hAnsi="Times New Roman" w:cs="Times New Roman"/>
          <w:color w:val="auto"/>
          <w:sz w:val="32"/>
          <w:szCs w:val="32"/>
        </w:rPr>
        <w:t>428.39</w:t>
      </w:r>
      <w:r>
        <w:rPr>
          <w:rFonts w:ascii="Times New Roman" w:hAnsi="Times New Roman" w:cs="Times New Roman"/>
          <w:color w:val="auto"/>
          <w:sz w:val="32"/>
          <w:szCs w:val="32"/>
        </w:rPr>
        <w:t>吨。</w:t>
      </w:r>
    </w:p>
    <w:p>
      <w:pPr>
        <w:adjustRightInd/>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表3.2-9主要清粪方式粪便养分收集率推荐值</w:t>
      </w:r>
    </w:p>
    <w:tbl>
      <w:tblPr>
        <w:tblStyle w:val="29"/>
        <w:tblW w:w="4873" w:type="pct"/>
        <w:tblInd w:w="11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42"/>
        <w:gridCol w:w="2943"/>
        <w:gridCol w:w="29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清粪方式</w:t>
            </w:r>
          </w:p>
        </w:tc>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氮收集率，%</w:t>
            </w:r>
          </w:p>
        </w:tc>
        <w:tc>
          <w:tcPr>
            <w:tcW w:w="1667"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磷收集率，%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干清粪</w:t>
            </w:r>
          </w:p>
        </w:tc>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88.0</w:t>
            </w:r>
          </w:p>
        </w:tc>
        <w:tc>
          <w:tcPr>
            <w:tcW w:w="1667"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水冲清粪</w:t>
            </w:r>
          </w:p>
        </w:tc>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87.0</w:t>
            </w:r>
          </w:p>
        </w:tc>
        <w:tc>
          <w:tcPr>
            <w:tcW w:w="1667"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水泡粪</w:t>
            </w:r>
          </w:p>
        </w:tc>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89.0</w:t>
            </w:r>
          </w:p>
        </w:tc>
        <w:tc>
          <w:tcPr>
            <w:tcW w:w="1667"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垫料</w:t>
            </w:r>
          </w:p>
        </w:tc>
        <w:tc>
          <w:tcPr>
            <w:tcW w:w="1666"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84.5</w:t>
            </w:r>
          </w:p>
        </w:tc>
        <w:tc>
          <w:tcPr>
            <w:tcW w:w="1667" w:type="pct"/>
            <w:shd w:val="clear" w:color="auto" w:fill="auto"/>
            <w:noWrap/>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95.0</w:t>
            </w:r>
          </w:p>
        </w:tc>
      </w:tr>
    </w:tbl>
    <w:p>
      <w:pPr>
        <w:adjustRightInd/>
        <w:spacing w:beforeLines="50" w:line="240" w:lineRule="auto"/>
        <w:ind w:firstLine="0" w:firstLineChars="0"/>
        <w:jc w:val="center"/>
        <w:rPr>
          <w:rFonts w:ascii="Times New Roman" w:hAnsi="Times New Roman" w:cs="Times New Roman"/>
          <w:b/>
          <w:color w:val="auto"/>
          <w:sz w:val="24"/>
        </w:rPr>
      </w:pPr>
      <w:r>
        <w:rPr>
          <w:rFonts w:ascii="Times New Roman" w:hAnsi="Times New Roman" w:cs="Times New Roman"/>
          <w:b/>
          <w:color w:val="auto"/>
          <w:sz w:val="24"/>
        </w:rPr>
        <w:t>表3.2-10</w:t>
      </w:r>
      <w:r>
        <w:rPr>
          <w:rFonts w:hint="eastAsia" w:ascii="Times New Roman" w:hAnsi="Times New Roman" w:cs="Times New Roman"/>
          <w:b/>
          <w:color w:val="auto"/>
          <w:sz w:val="24"/>
        </w:rPr>
        <w:t xml:space="preserve">  2021年</w:t>
      </w:r>
      <w:r>
        <w:rPr>
          <w:rFonts w:ascii="Times New Roman" w:hAnsi="Times New Roman" w:cs="Times New Roman"/>
          <w:b/>
          <w:color w:val="auto"/>
          <w:sz w:val="24"/>
        </w:rPr>
        <w:t>长清区各</w:t>
      </w:r>
      <w:r>
        <w:rPr>
          <w:rFonts w:hint="eastAsia" w:ascii="Times New Roman" w:hAnsi="Times New Roman" w:cs="Times New Roman"/>
          <w:b/>
          <w:color w:val="auto"/>
          <w:sz w:val="24"/>
        </w:rPr>
        <w:t>镇街</w:t>
      </w:r>
      <w:r>
        <w:rPr>
          <w:rFonts w:ascii="Times New Roman" w:hAnsi="Times New Roman" w:cs="Times New Roman"/>
          <w:b/>
          <w:color w:val="auto"/>
          <w:sz w:val="24"/>
        </w:rPr>
        <w:t>粪便养分可收集量（单位：吨）</w:t>
      </w:r>
    </w:p>
    <w:tbl>
      <w:tblPr>
        <w:tblStyle w:val="30"/>
        <w:tblW w:w="88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37"/>
        <w:gridCol w:w="2937"/>
        <w:gridCol w:w="29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氮收集量</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磷收集量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287.06</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703.61</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114.47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263.79</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234.87</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38.58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431.86</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69.81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292.12</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251.65</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87.30</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37.73</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35.56</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总计</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2625.55</w:t>
            </w:r>
          </w:p>
        </w:tc>
        <w:tc>
          <w:tcPr>
            <w:tcW w:w="2937"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428.39</w:t>
            </w:r>
          </w:p>
        </w:tc>
      </w:tr>
    </w:tbl>
    <w:p>
      <w:pPr>
        <w:widowControl w:val="0"/>
        <w:overflowPunct w:val="0"/>
        <w:autoSpaceDE w:val="0"/>
        <w:autoSpaceDN w:val="0"/>
        <w:adjustRightInd/>
        <w:ind w:firstLine="560"/>
        <w:rPr>
          <w:rFonts w:ascii="Times New Roman" w:hAnsi="Times New Roman" w:cs="Times New Roman"/>
          <w:color w:val="auto"/>
          <w:szCs w:val="28"/>
        </w:rPr>
      </w:pPr>
      <w:r>
        <w:rPr>
          <w:rFonts w:ascii="Times New Roman" w:hAnsi="Times New Roman" w:cs="Times New Roman"/>
          <w:color w:val="auto"/>
          <w:szCs w:val="28"/>
        </w:rPr>
        <w:t>（3）畜禽粪便养分可供给量</w:t>
      </w:r>
    </w:p>
    <w:p>
      <w:pPr>
        <w:widowControl w:val="0"/>
        <w:topLinePunct/>
        <w:adjustRightInd/>
        <w:spacing w:afterLines="100" w:line="560" w:lineRule="exact"/>
        <w:ind w:firstLine="640"/>
        <w:rPr>
          <w:rFonts w:ascii="Times New Roman" w:hAnsi="Times New Roman" w:cs="Times New Roman"/>
          <w:color w:val="auto"/>
          <w:sz w:val="32"/>
          <w:szCs w:val="32"/>
        </w:rPr>
      </w:pPr>
      <w:r>
        <w:rPr>
          <w:rFonts w:ascii="Times New Roman" w:hAnsi="Times New Roman" w:cs="Times New Roman"/>
          <w:color w:val="auto"/>
          <w:sz w:val="32"/>
          <w:szCs w:val="32"/>
        </w:rPr>
        <w:t>畜禽粪便氮(磷)养分可供给量以</w:t>
      </w:r>
      <w:r>
        <w:rPr>
          <w:rFonts w:ascii="Times New Roman" w:hAnsi="Times New Roman" w:cs="Times New Roman"/>
          <w:i/>
          <w:color w:val="auto"/>
          <w:sz w:val="32"/>
          <w:szCs w:val="32"/>
        </w:rPr>
        <w:t>Q</w:t>
      </w:r>
      <w:r>
        <w:rPr>
          <w:rFonts w:ascii="Times New Roman" w:hAnsi="Times New Roman" w:cs="Times New Roman"/>
          <w:i/>
          <w:color w:val="auto"/>
          <w:sz w:val="32"/>
          <w:szCs w:val="32"/>
          <w:vertAlign w:val="subscript"/>
        </w:rPr>
        <w:t>r，Tr</w:t>
      </w:r>
      <w:r>
        <w:rPr>
          <w:rFonts w:ascii="Times New Roman" w:hAnsi="Times New Roman" w:cs="Times New Roman"/>
          <w:color w:val="auto"/>
          <w:sz w:val="32"/>
          <w:szCs w:val="32"/>
        </w:rPr>
        <w:t>，表示，单位为吨每年(t/年)，计算公式如下：</w:t>
      </w:r>
    </w:p>
    <w:p>
      <w:pPr>
        <w:topLinePunct/>
        <w:adjustRightInd/>
        <w:ind w:firstLine="560"/>
        <w:rPr>
          <w:rFonts w:ascii="Times New Roman" w:hAnsi="Times New Roman" w:cs="Times New Roman"/>
          <w:color w:val="auto"/>
          <w:szCs w:val="28"/>
        </w:rPr>
      </w:pPr>
      <m:oMathPara>
        <m:oMath>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rPr>
                <m:t>Q</m:t>
              </m:r>
              <m:ctrlPr>
                <w:rPr>
                  <w:rFonts w:ascii="Cambria Math" w:hAnsi="Cambria Math" w:cs="Times New Roman"/>
                  <w:i/>
                  <w:color w:val="auto"/>
                  <w:szCs w:val="28"/>
                  <w:vertAlign w:val="subscript"/>
                </w:rPr>
              </m:ctrlPr>
            </m:e>
            <m:sub>
              <m:r>
                <m:rPr/>
                <w:rPr>
                  <w:rFonts w:ascii="Cambria Math" w:hAnsi="Cambria Math" w:cs="Times New Roman"/>
                  <w:color w:val="auto"/>
                  <w:szCs w:val="28"/>
                  <w:vertAlign w:val="subscript"/>
                </w:rPr>
                <m:t>r,Tr</m:t>
              </m:r>
              <m:r>
                <m:rPr>
                  <m:sty m:val="p"/>
                </m:rPr>
                <w:rPr>
                  <w:rFonts w:ascii="Cambria Math" w:hAnsi="Cambria Math" w:cs="Times New Roman"/>
                  <w:color w:val="auto"/>
                  <w:szCs w:val="28"/>
                  <w:vertAlign w:val="subscript"/>
                </w:rPr>
                <m:t>,i</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nary>
            <m:naryPr>
              <m:chr m:val="∑"/>
              <m:limLoc m:val="undOvr"/>
              <m:subHide m:val="1"/>
              <m:supHide m:val="1"/>
              <m:ctrlPr>
                <w:rPr>
                  <w:rFonts w:ascii="Cambria Math" w:hAnsi="Cambria Math" w:cs="Times New Roman"/>
                  <w:i/>
                  <w:color w:val="auto"/>
                  <w:szCs w:val="28"/>
                  <w:vertAlign w:val="subscript"/>
                </w:rPr>
              </m:ctrlPr>
            </m:naryPr>
            <m:sub>
              <m:ctrlPr>
                <w:rPr>
                  <w:rFonts w:ascii="Cambria Math" w:hAnsi="Cambria Math" w:cs="Times New Roman"/>
                  <w:i/>
                  <w:color w:val="auto"/>
                  <w:szCs w:val="28"/>
                  <w:vertAlign w:val="subscript"/>
                </w:rPr>
              </m:ctrlPr>
            </m:sub>
            <m:sup>
              <m:ctrlPr>
                <w:rPr>
                  <w:rFonts w:ascii="Cambria Math" w:hAnsi="Cambria Math" w:cs="Times New Roman"/>
                  <w:i/>
                  <w:color w:val="auto"/>
                  <w:szCs w:val="28"/>
                  <w:vertAlign w:val="subscript"/>
                </w:rPr>
              </m:ctrlPr>
            </m:sup>
            <m:e>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Q</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r,C,i</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PT</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i,k</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PL</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k</m:t>
                  </m:r>
                  <m:ctrlPr>
                    <w:rPr>
                      <w:rFonts w:ascii="Cambria Math" w:hAnsi="Cambria Math" w:cs="Times New Roman"/>
                      <w:i/>
                      <w:color w:val="auto"/>
                      <w:szCs w:val="28"/>
                      <w:vertAlign w:val="subscript"/>
                    </w:rPr>
                  </m:ctrlPr>
                </m:sub>
              </m:sSub>
              <m:ctrlPr>
                <w:rPr>
                  <w:rFonts w:ascii="Cambria Math" w:hAnsi="Cambria Math" w:cs="Times New Roman"/>
                  <w:i/>
                  <w:color w:val="auto"/>
                  <w:szCs w:val="28"/>
                  <w:vertAlign w:val="subscript"/>
                </w:rPr>
              </m:ctrlPr>
            </m:e>
          </m:nary>
        </m:oMath>
      </m:oMathPara>
    </w:p>
    <w:p>
      <w:pPr>
        <w:topLinePunct/>
        <w:adjustRightInd/>
        <w:ind w:firstLine="560"/>
        <w:rPr>
          <w:rFonts w:ascii="Times New Roman" w:hAnsi="Times New Roman" w:cs="Times New Roman"/>
          <w:color w:val="auto"/>
          <w:szCs w:val="28"/>
        </w:rPr>
      </w:pPr>
      <m:oMathPara>
        <m:oMath>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rPr>
                <m:t>Q</m:t>
              </m:r>
              <m:ctrlPr>
                <w:rPr>
                  <w:rFonts w:ascii="Cambria Math" w:hAnsi="Cambria Math" w:cs="Times New Roman"/>
                  <w:i/>
                  <w:color w:val="auto"/>
                  <w:szCs w:val="28"/>
                  <w:vertAlign w:val="subscript"/>
                </w:rPr>
              </m:ctrlPr>
            </m:e>
            <m:sub>
              <m:r>
                <m:rPr/>
                <w:rPr>
                  <w:rFonts w:ascii="Cambria Math" w:hAnsi="Cambria Math" w:cs="Times New Roman"/>
                  <w:color w:val="auto"/>
                  <w:szCs w:val="28"/>
                  <w:vertAlign w:val="subscript"/>
                </w:rPr>
                <m:t>r,Tr</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nary>
            <m:naryPr>
              <m:chr m:val="∑"/>
              <m:limLoc m:val="undOvr"/>
              <m:subHide m:val="1"/>
              <m:supHide m:val="1"/>
              <m:ctrlPr>
                <w:rPr>
                  <w:rFonts w:ascii="Cambria Math" w:hAnsi="Cambria Math" w:cs="Times New Roman"/>
                  <w:i/>
                  <w:color w:val="auto"/>
                  <w:szCs w:val="28"/>
                  <w:vertAlign w:val="subscript"/>
                </w:rPr>
              </m:ctrlPr>
            </m:naryPr>
            <m:sub>
              <m:ctrlPr>
                <w:rPr>
                  <w:rFonts w:ascii="Cambria Math" w:hAnsi="Cambria Math" w:cs="Times New Roman"/>
                  <w:i/>
                  <w:color w:val="auto"/>
                  <w:szCs w:val="28"/>
                  <w:vertAlign w:val="subscript"/>
                </w:rPr>
              </m:ctrlPr>
            </m:sub>
            <m:sup>
              <m:ctrlPr>
                <w:rPr>
                  <w:rFonts w:ascii="Cambria Math" w:hAnsi="Cambria Math" w:cs="Times New Roman"/>
                  <w:i/>
                  <w:color w:val="auto"/>
                  <w:szCs w:val="28"/>
                  <w:vertAlign w:val="subscript"/>
                </w:rPr>
              </m:ctrlPr>
            </m:sup>
            <m:e>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Q</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r,Tr,i</m:t>
                  </m:r>
                  <m:ctrlPr>
                    <w:rPr>
                      <w:rFonts w:ascii="Cambria Math" w:hAnsi="Cambria Math" w:cs="Times New Roman"/>
                      <w:i/>
                      <w:color w:val="auto"/>
                      <w:szCs w:val="28"/>
                      <w:vertAlign w:val="subscript"/>
                    </w:rPr>
                  </m:ctrlPr>
                </m:sub>
              </m:sSub>
              <m:ctrlPr>
                <w:rPr>
                  <w:rFonts w:ascii="Cambria Math" w:hAnsi="Cambria Math" w:cs="Times New Roman"/>
                  <w:i/>
                  <w:color w:val="auto"/>
                  <w:szCs w:val="28"/>
                  <w:vertAlign w:val="subscript"/>
                </w:rPr>
              </m:ctrlPr>
            </m:e>
          </m:nary>
        </m:oMath>
      </m:oMathPara>
    </w:p>
    <w:p>
      <w:pPr>
        <w:widowControl w:val="0"/>
        <w:topLinePunct/>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式中:</w:t>
      </w:r>
    </w:p>
    <w:p>
      <w:pPr>
        <w:widowControl w:val="0"/>
        <w:topLinePunct/>
        <w:spacing w:line="58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rPr>
              <m:t>Q</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r,Tr</m:t>
            </m:r>
            <m:r>
              <m:rPr>
                <m:sty m:val="p"/>
              </m:rPr>
              <w:rPr>
                <w:rFonts w:ascii="Cambria Math" w:hAnsi="Cambria Math" w:cs="Times New Roman"/>
                <w:color w:val="auto"/>
                <w:sz w:val="32"/>
                <w:szCs w:val="32"/>
                <w:vertAlign w:val="subscript"/>
              </w:rPr>
              <m:t>,i</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w:t>
      </w:r>
      <w:r>
        <w:rPr>
          <w:rFonts w:ascii="Times New Roman" w:hAnsi="Times New Roman" w:cs="Times New Roman"/>
          <w:i/>
          <w:color w:val="auto"/>
          <w:sz w:val="32"/>
          <w:szCs w:val="32"/>
        </w:rPr>
        <w:t>i</w:t>
      </w:r>
      <w:r>
        <w:rPr>
          <w:rFonts w:ascii="Times New Roman" w:hAnsi="Times New Roman" w:cs="Times New Roman"/>
          <w:color w:val="auto"/>
          <w:sz w:val="32"/>
          <w:szCs w:val="32"/>
        </w:rPr>
        <w:t>种畜禽粪便处理后养分可供给量的数值，单位为吨每年；</w:t>
      </w:r>
    </w:p>
    <w:p>
      <w:pPr>
        <w:widowControl w:val="0"/>
        <w:topLinePunct/>
        <w:spacing w:line="58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Q</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r,C,i</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w:t>
      </w:r>
      <w:r>
        <w:rPr>
          <w:rFonts w:ascii="Times New Roman" w:hAnsi="Times New Roman" w:cs="Times New Roman"/>
          <w:i/>
          <w:color w:val="auto"/>
          <w:sz w:val="32"/>
          <w:szCs w:val="32"/>
        </w:rPr>
        <w:t>i</w:t>
      </w:r>
      <w:r>
        <w:rPr>
          <w:rFonts w:ascii="Times New Roman" w:hAnsi="Times New Roman" w:cs="Times New Roman"/>
          <w:color w:val="auto"/>
          <w:sz w:val="32"/>
          <w:szCs w:val="32"/>
        </w:rPr>
        <w:t>种畜禽粪便养分可收集的数值、单位为吨每个吨；</w:t>
      </w:r>
    </w:p>
    <w:p>
      <w:pPr>
        <w:widowControl w:val="0"/>
        <w:topLinePunct/>
        <w:spacing w:line="58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PT</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i,k</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，边界内第</w:t>
      </w:r>
      <w:r>
        <w:rPr>
          <w:rFonts w:ascii="Times New Roman" w:hAnsi="Times New Roman" w:cs="Times New Roman"/>
          <w:i/>
          <w:color w:val="auto"/>
          <w:sz w:val="32"/>
          <w:szCs w:val="32"/>
        </w:rPr>
        <w:t>i</w:t>
      </w:r>
      <w:r>
        <w:rPr>
          <w:rFonts w:ascii="Times New Roman" w:hAnsi="Times New Roman" w:cs="Times New Roman"/>
          <w:color w:val="auto"/>
          <w:sz w:val="32"/>
          <w:szCs w:val="32"/>
        </w:rPr>
        <w:t>种畜禽的粪便在第</w:t>
      </w:r>
      <w:r>
        <w:rPr>
          <w:rFonts w:ascii="Times New Roman" w:hAnsi="Times New Roman" w:cs="Times New Roman"/>
          <w:i/>
          <w:color w:val="auto"/>
          <w:sz w:val="32"/>
          <w:szCs w:val="32"/>
        </w:rPr>
        <w:t>k</w:t>
      </w:r>
      <w:r>
        <w:rPr>
          <w:rFonts w:ascii="Times New Roman" w:hAnsi="Times New Roman" w:cs="Times New Roman"/>
          <w:color w:val="auto"/>
          <w:sz w:val="32"/>
          <w:szCs w:val="32"/>
        </w:rPr>
        <w:t>种处理方式所占比例，单位为百分号(%)，该比例根据调研实际获得；</w:t>
      </w:r>
    </w:p>
    <w:p>
      <w:pPr>
        <w:widowControl w:val="0"/>
        <w:topLinePunct/>
        <w:spacing w:line="58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PL</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k</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，第</w:t>
      </w:r>
      <w:r>
        <w:rPr>
          <w:rFonts w:ascii="Times New Roman" w:hAnsi="Times New Roman" w:cs="Times New Roman"/>
          <w:i/>
          <w:color w:val="auto"/>
          <w:sz w:val="32"/>
          <w:szCs w:val="32"/>
        </w:rPr>
        <w:t>k</w:t>
      </w:r>
      <w:r>
        <w:rPr>
          <w:rFonts w:ascii="Times New Roman" w:hAnsi="Times New Roman" w:cs="Times New Roman"/>
          <w:color w:val="auto"/>
          <w:sz w:val="32"/>
          <w:szCs w:val="32"/>
        </w:rPr>
        <w:t>种粪便处理方式下氮(磷)养分留存率，单位为百分号(%)。</w:t>
      </w:r>
    </w:p>
    <w:p>
      <w:pPr>
        <w:widowControl w:val="0"/>
        <w:topLinePunct/>
        <w:spacing w:line="58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长清区规模养殖场和</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采用的粪污处理方式主要为堆肥。根据《畜禽粪便土地承载力测算方法》（NY/T3877-2021），主要粪便处理方式养分留存率</w:t>
      </w:r>
      <w:r>
        <w:rPr>
          <w:rFonts w:hint="eastAsia" w:ascii="Times New Roman" w:hAnsi="Times New Roman" w:cs="Times New Roman"/>
          <w:color w:val="auto"/>
          <w:sz w:val="32"/>
          <w:szCs w:val="32"/>
        </w:rPr>
        <w:t>参考</w:t>
      </w:r>
      <w:r>
        <w:rPr>
          <w:rFonts w:ascii="Times New Roman" w:hAnsi="Times New Roman" w:cs="Times New Roman"/>
          <w:color w:val="auto"/>
          <w:sz w:val="32"/>
          <w:szCs w:val="32"/>
        </w:rPr>
        <w:t>推荐值</w:t>
      </w:r>
      <w:r>
        <w:rPr>
          <w:rFonts w:hint="eastAsia" w:ascii="Times New Roman" w:hAnsi="Times New Roman" w:cs="Times New Roman"/>
          <w:color w:val="auto"/>
          <w:sz w:val="32"/>
          <w:szCs w:val="32"/>
        </w:rPr>
        <w:t>中堆肥氮留存率，取</w:t>
      </w:r>
      <w:r>
        <w:rPr>
          <w:rFonts w:ascii="Times New Roman" w:hAnsi="Times New Roman" w:cs="Times New Roman"/>
          <w:color w:val="auto"/>
          <w:sz w:val="32"/>
          <w:szCs w:val="32"/>
        </w:rPr>
        <w:t>68.5</w:t>
      </w:r>
      <w:r>
        <w:rPr>
          <w:rFonts w:hint="eastAsia" w:ascii="Times New Roman" w:hAnsi="Times New Roman" w:cs="Times New Roman"/>
          <w:color w:val="auto"/>
          <w:sz w:val="32"/>
          <w:szCs w:val="32"/>
        </w:rPr>
        <w:t>%；堆肥磷留存率，取76.5%</w:t>
      </w:r>
      <w:r>
        <w:rPr>
          <w:rFonts w:ascii="Times New Roman" w:hAnsi="Times New Roman" w:cs="Times New Roman"/>
          <w:color w:val="auto"/>
          <w:sz w:val="32"/>
          <w:szCs w:val="32"/>
        </w:rPr>
        <w:t>。</w:t>
      </w:r>
    </w:p>
    <w:p>
      <w:pPr>
        <w:widowControl w:val="0"/>
        <w:topLinePunct/>
        <w:spacing w:line="580" w:lineRule="exact"/>
        <w:ind w:firstLine="640"/>
        <w:jc w:val="both"/>
        <w:rPr>
          <w:rFonts w:hint="eastAsia" w:ascii="Times New Roman" w:hAnsi="Times New Roman" w:cs="Times New Roman"/>
          <w:color w:val="auto"/>
          <w:sz w:val="32"/>
          <w:szCs w:val="32"/>
        </w:rPr>
      </w:pPr>
      <w:r>
        <w:rPr>
          <w:rFonts w:ascii="Times New Roman" w:hAnsi="Times New Roman" w:cs="Times New Roman"/>
          <w:color w:val="auto"/>
          <w:sz w:val="32"/>
          <w:szCs w:val="32"/>
        </w:rPr>
        <w:t>经计算，以2021年为基准，长清区粪便养分中氮元素可供给量为</w:t>
      </w:r>
      <w:r>
        <w:rPr>
          <w:rFonts w:hint="eastAsia" w:ascii="Times New Roman" w:hAnsi="Times New Roman" w:cs="Times New Roman"/>
          <w:color w:val="auto"/>
          <w:sz w:val="32"/>
          <w:szCs w:val="32"/>
        </w:rPr>
        <w:t>1798.50</w:t>
      </w:r>
      <w:r>
        <w:rPr>
          <w:rFonts w:ascii="Times New Roman" w:hAnsi="Times New Roman" w:cs="Times New Roman"/>
          <w:color w:val="auto"/>
          <w:sz w:val="32"/>
          <w:szCs w:val="32"/>
        </w:rPr>
        <w:t>吨，磷元素可</w:t>
      </w:r>
      <w:r>
        <w:rPr>
          <w:rFonts w:hint="eastAsia" w:ascii="Times New Roman" w:hAnsi="Times New Roman" w:cs="Times New Roman"/>
          <w:color w:val="auto"/>
          <w:sz w:val="32"/>
          <w:szCs w:val="32"/>
        </w:rPr>
        <w:t>供给</w:t>
      </w:r>
      <w:r>
        <w:rPr>
          <w:rFonts w:ascii="Times New Roman" w:hAnsi="Times New Roman" w:cs="Times New Roman"/>
          <w:color w:val="auto"/>
          <w:sz w:val="32"/>
          <w:szCs w:val="32"/>
        </w:rPr>
        <w:t>量为</w:t>
      </w:r>
      <w:r>
        <w:rPr>
          <w:rFonts w:hint="eastAsia" w:ascii="Times New Roman" w:hAnsi="Times New Roman" w:cs="Times New Roman"/>
          <w:color w:val="auto"/>
          <w:sz w:val="32"/>
          <w:szCs w:val="32"/>
        </w:rPr>
        <w:t>327.70</w:t>
      </w:r>
      <w:r>
        <w:rPr>
          <w:rFonts w:ascii="Times New Roman" w:hAnsi="Times New Roman" w:cs="Times New Roman"/>
          <w:color w:val="auto"/>
          <w:sz w:val="32"/>
          <w:szCs w:val="32"/>
        </w:rPr>
        <w:t>吨。</w:t>
      </w:r>
    </w:p>
    <w:p>
      <w:pPr>
        <w:pStyle w:val="2"/>
        <w:rPr>
          <w:rFonts w:hint="eastAsia"/>
        </w:rPr>
      </w:pPr>
    </w:p>
    <w:p>
      <w:pPr>
        <w:ind w:firstLine="560"/>
      </w:pPr>
    </w:p>
    <w:p>
      <w:pPr>
        <w:ind w:firstLine="0" w:firstLineChars="0"/>
        <w:jc w:val="center"/>
        <w:rPr>
          <w:rFonts w:ascii="Times New Roman" w:hAnsi="Times New Roman" w:eastAsia="仿宋" w:cs="Times New Roman"/>
          <w:b/>
          <w:bCs/>
          <w:color w:val="auto"/>
        </w:rPr>
      </w:pPr>
      <w:r>
        <w:rPr>
          <w:rFonts w:ascii="Times New Roman" w:hAnsi="Times New Roman" w:cs="Times New Roman"/>
          <w:b/>
          <w:color w:val="auto"/>
          <w:sz w:val="24"/>
        </w:rPr>
        <w:t>表3.2-1</w:t>
      </w:r>
      <w:r>
        <w:rPr>
          <w:rFonts w:hint="eastAsia" w:ascii="Times New Roman" w:hAnsi="Times New Roman" w:cs="Times New Roman"/>
          <w:b/>
          <w:color w:val="auto"/>
          <w:sz w:val="24"/>
        </w:rPr>
        <w:t>1  2021年</w:t>
      </w:r>
      <w:r>
        <w:rPr>
          <w:rFonts w:ascii="Times New Roman" w:hAnsi="Times New Roman" w:cs="Times New Roman"/>
          <w:b/>
          <w:color w:val="auto"/>
          <w:sz w:val="24"/>
        </w:rPr>
        <w:t>长清区各</w:t>
      </w:r>
      <w:r>
        <w:rPr>
          <w:rFonts w:hint="eastAsia" w:ascii="Times New Roman" w:hAnsi="Times New Roman" w:cs="Times New Roman"/>
          <w:b/>
          <w:color w:val="auto"/>
          <w:sz w:val="24"/>
        </w:rPr>
        <w:t>镇街</w:t>
      </w:r>
      <w:r>
        <w:rPr>
          <w:rFonts w:ascii="Times New Roman" w:hAnsi="Times New Roman" w:cs="Times New Roman"/>
          <w:b/>
          <w:color w:val="auto"/>
          <w:sz w:val="24"/>
        </w:rPr>
        <w:t>粪便养分可供给量（单位：吨）</w:t>
      </w:r>
    </w:p>
    <w:tbl>
      <w:tblPr>
        <w:tblStyle w:val="30"/>
        <w:tblW w:w="88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59"/>
        <w:gridCol w:w="2959"/>
        <w:gridCol w:w="29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街道</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氮供给量</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磷供给量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196.64</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36.61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481.97</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87.57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180.69</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160.89</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295.82</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200.10</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35.98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172.38</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59.80</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25.85</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24.36</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总计</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1798.50</w:t>
            </w:r>
          </w:p>
        </w:tc>
        <w:tc>
          <w:tcPr>
            <w:tcW w:w="2959"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327.70</w:t>
            </w:r>
          </w:p>
        </w:tc>
      </w:tr>
    </w:tbl>
    <w:p>
      <w:pPr>
        <w:widowControl w:val="0"/>
        <w:topLinePunct/>
        <w:adjustRightInd/>
        <w:spacing w:line="560" w:lineRule="exact"/>
        <w:ind w:firstLine="640"/>
        <w:rPr>
          <w:rFonts w:ascii="Times New Roman" w:hAnsi="Times New Roman" w:cs="Times New Roman"/>
          <w:color w:val="auto"/>
          <w:sz w:val="32"/>
          <w:szCs w:val="32"/>
        </w:rPr>
      </w:pPr>
      <w:r>
        <w:rPr>
          <w:rFonts w:ascii="Times New Roman" w:hAnsi="Times New Roman" w:cs="Times New Roman"/>
          <w:color w:val="auto"/>
          <w:sz w:val="32"/>
          <w:szCs w:val="32"/>
        </w:rPr>
        <w:t>（4）猪当量粪便养分可供给量</w:t>
      </w:r>
    </w:p>
    <w:p>
      <w:pPr>
        <w:widowControl w:val="0"/>
        <w:topLinePunct/>
        <w:adjustRightInd/>
        <w:spacing w:line="560" w:lineRule="exact"/>
        <w:ind w:firstLine="640"/>
        <w:rPr>
          <w:rFonts w:ascii="Times New Roman" w:hAnsi="Times New Roman" w:cs="Times New Roman"/>
          <w:color w:val="auto"/>
          <w:sz w:val="32"/>
          <w:szCs w:val="32"/>
        </w:rPr>
      </w:pPr>
      <w:r>
        <w:rPr>
          <w:rFonts w:ascii="Times New Roman" w:hAnsi="Times New Roman" w:cs="Times New Roman"/>
          <w:color w:val="auto"/>
          <w:sz w:val="32"/>
          <w:szCs w:val="32"/>
        </w:rPr>
        <w:t>猪当量粪便养分可供给量以NS</w:t>
      </w:r>
      <w:r>
        <w:rPr>
          <w:rFonts w:ascii="Times New Roman" w:hAnsi="Times New Roman" w:cs="Times New Roman"/>
          <w:color w:val="auto"/>
          <w:sz w:val="32"/>
          <w:szCs w:val="32"/>
          <w:vertAlign w:val="subscript"/>
        </w:rPr>
        <w:t>r，a</w:t>
      </w:r>
      <w:r>
        <w:rPr>
          <w:rFonts w:ascii="Times New Roman" w:hAnsi="Times New Roman" w:cs="Times New Roman"/>
          <w:color w:val="auto"/>
          <w:sz w:val="32"/>
          <w:szCs w:val="32"/>
        </w:rPr>
        <w:t>表示，单位为千克每猪当量每年，计算公式如下：</w:t>
      </w:r>
    </w:p>
    <w:p>
      <w:pPr>
        <w:topLinePunct/>
        <w:adjustRightInd/>
        <w:ind w:firstLine="560"/>
        <w:rPr>
          <w:rFonts w:ascii="Times New Roman" w:hAnsi="Times New Roman" w:cs="Times New Roman"/>
          <w:color w:val="auto"/>
          <w:szCs w:val="28"/>
        </w:rPr>
      </w:pPr>
      <m:oMathPara>
        <m:oMath>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rPr>
                <m:t>NS</m:t>
              </m:r>
              <m:ctrlPr>
                <w:rPr>
                  <w:rFonts w:ascii="Cambria Math" w:hAnsi="Cambria Math" w:cs="Times New Roman"/>
                  <w:i/>
                  <w:color w:val="auto"/>
                  <w:szCs w:val="28"/>
                  <w:vertAlign w:val="subscript"/>
                </w:rPr>
              </m:ctrlPr>
            </m:e>
            <m:sub>
              <m:r>
                <m:rPr/>
                <w:rPr>
                  <w:rFonts w:ascii="Cambria Math" w:hAnsi="Cambria Math" w:cs="Times New Roman"/>
                  <w:color w:val="auto"/>
                  <w:szCs w:val="28"/>
                  <w:vertAlign w:val="subscript"/>
                </w:rPr>
                <m:t>r,a</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f>
            <m:fPr>
              <m:ctrlPr>
                <w:rPr>
                  <w:rFonts w:ascii="Cambria Math" w:hAnsi="Cambria Math" w:cs="Times New Roman"/>
                  <w:i/>
                  <w:color w:val="auto"/>
                  <w:szCs w:val="28"/>
                  <w:vertAlign w:val="subscript"/>
                </w:rPr>
              </m:ctrlPr>
            </m:fPr>
            <m:num>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rPr>
                    <m:t>Q</m:t>
                  </m:r>
                  <m:ctrlPr>
                    <w:rPr>
                      <w:rFonts w:ascii="Cambria Math" w:hAnsi="Cambria Math" w:cs="Times New Roman"/>
                      <w:i/>
                      <w:color w:val="auto"/>
                      <w:szCs w:val="28"/>
                      <w:vertAlign w:val="subscript"/>
                    </w:rPr>
                  </m:ctrlPr>
                </m:e>
                <m:sub>
                  <m:r>
                    <m:rPr/>
                    <w:rPr>
                      <w:rFonts w:ascii="Cambria Math" w:hAnsi="Cambria Math" w:cs="Times New Roman"/>
                      <w:color w:val="auto"/>
                      <w:szCs w:val="28"/>
                      <w:vertAlign w:val="subscript"/>
                    </w:rPr>
                    <m:t>r,Tr</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r>
                <m:rPr/>
                <w:rPr>
                  <w:rFonts w:ascii="Cambria Math" w:hAnsi="Cambria Math" w:cs="Times New Roman"/>
                  <w:color w:val="auto"/>
                  <w:szCs w:val="28"/>
                </w:rPr>
                <m:t>1000</m:t>
              </m:r>
              <m:ctrlPr>
                <w:rPr>
                  <w:rFonts w:ascii="Cambria Math" w:hAnsi="Cambria Math" w:cs="Times New Roman"/>
                  <w:i/>
                  <w:color w:val="auto"/>
                  <w:szCs w:val="28"/>
                  <w:vertAlign w:val="subscript"/>
                </w:rPr>
              </m:ctrlPr>
            </m:num>
            <m:den>
              <m:r>
                <m:rPr/>
                <w:rPr>
                  <w:rFonts w:ascii="Cambria Math" w:hAnsi="Cambria Math" w:cs="Times New Roman"/>
                  <w:color w:val="auto"/>
                  <w:szCs w:val="28"/>
                  <w:vertAlign w:val="subscript"/>
                </w:rPr>
                <m:t>A</m:t>
              </m:r>
              <m:ctrlPr>
                <w:rPr>
                  <w:rFonts w:ascii="Cambria Math" w:hAnsi="Cambria Math" w:cs="Times New Roman"/>
                  <w:i/>
                  <w:color w:val="auto"/>
                  <w:szCs w:val="28"/>
                  <w:vertAlign w:val="subscript"/>
                </w:rPr>
              </m:ctrlPr>
            </m:den>
          </m:f>
        </m:oMath>
      </m:oMathPara>
    </w:p>
    <w:p>
      <w:pPr>
        <w:topLinePunct/>
        <w:adjustRightInd/>
        <w:spacing w:line="570" w:lineRule="exact"/>
        <w:ind w:firstLine="640"/>
        <w:rPr>
          <w:rFonts w:ascii="Times New Roman" w:hAnsi="Times New Roman" w:cs="Times New Roman"/>
          <w:color w:val="auto"/>
          <w:sz w:val="32"/>
          <w:szCs w:val="32"/>
        </w:rPr>
      </w:pPr>
      <w:r>
        <w:rPr>
          <w:rFonts w:ascii="Times New Roman" w:hAnsi="Times New Roman" w:cs="Times New Roman"/>
          <w:color w:val="auto"/>
          <w:sz w:val="32"/>
          <w:szCs w:val="32"/>
        </w:rPr>
        <w:t>式中:</w:t>
      </w:r>
    </w:p>
    <w:p>
      <w:pPr>
        <w:topLinePunct/>
        <w:adjustRightInd/>
        <w:spacing w:line="570" w:lineRule="exact"/>
        <w:ind w:firstLine="640"/>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rPr>
              <m:t>Q</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r,Tr</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，边界内畜的粪便养分可供给量的数值，单位为吨每年；</w:t>
      </w:r>
    </w:p>
    <w:p>
      <w:pPr>
        <w:topLinePunct/>
        <w:adjustRightInd/>
        <w:spacing w:line="570" w:lineRule="exact"/>
        <w:ind w:firstLine="640"/>
        <w:rPr>
          <w:rFonts w:ascii="Times New Roman" w:hAnsi="Times New Roman" w:cs="Times New Roman"/>
          <w:color w:val="auto"/>
          <w:sz w:val="32"/>
          <w:szCs w:val="32"/>
        </w:rPr>
      </w:pPr>
      <w:r>
        <w:rPr>
          <w:rFonts w:ascii="Times New Roman" w:hAnsi="Times New Roman" w:cs="Times New Roman"/>
          <w:color w:val="auto"/>
          <w:sz w:val="32"/>
          <w:szCs w:val="32"/>
        </w:rPr>
        <w:t>A，边界内饲养的各种畜禽折算成猪当量的饲养总量，单位为猪当量，计算公式如下：</w:t>
      </w:r>
    </w:p>
    <w:p>
      <w:pPr>
        <w:topLinePunct/>
        <w:adjustRightInd/>
        <w:ind w:firstLine="560"/>
        <w:rPr>
          <w:rFonts w:ascii="Times New Roman" w:hAnsi="Times New Roman" w:cs="Times New Roman"/>
          <w:color w:val="auto"/>
          <w:szCs w:val="28"/>
        </w:rPr>
      </w:pPr>
      <m:oMathPara>
        <m:oMath>
          <m:r>
            <m:rPr/>
            <w:rPr>
              <w:rFonts w:ascii="Cambria Math" w:hAnsi="Cambria Math" w:cs="Times New Roman"/>
              <w:color w:val="auto"/>
              <w:szCs w:val="28"/>
              <w:vertAlign w:val="subscript"/>
            </w:rPr>
            <m:t>A=</m:t>
          </m:r>
          <m:nary>
            <m:naryPr>
              <m:chr m:val="∑"/>
              <m:limLoc m:val="undOvr"/>
              <m:subHide m:val="1"/>
              <m:supHide m:val="1"/>
              <m:ctrlPr>
                <w:rPr>
                  <w:rFonts w:ascii="Cambria Math" w:hAnsi="Cambria Math" w:cs="Times New Roman"/>
                  <w:i/>
                  <w:color w:val="auto"/>
                  <w:szCs w:val="28"/>
                  <w:vertAlign w:val="subscript"/>
                </w:rPr>
              </m:ctrlPr>
            </m:naryPr>
            <m:sub>
              <m:ctrlPr>
                <w:rPr>
                  <w:rFonts w:ascii="Cambria Math" w:hAnsi="Cambria Math" w:cs="Times New Roman"/>
                  <w:i/>
                  <w:color w:val="auto"/>
                  <w:szCs w:val="28"/>
                  <w:vertAlign w:val="subscript"/>
                </w:rPr>
              </m:ctrlPr>
            </m:sub>
            <m:sup>
              <m:ctrlPr>
                <w:rPr>
                  <w:rFonts w:ascii="Cambria Math" w:hAnsi="Cambria Math" w:cs="Times New Roman"/>
                  <w:i/>
                  <w:color w:val="auto"/>
                  <w:szCs w:val="28"/>
                  <w:vertAlign w:val="subscript"/>
                </w:rPr>
              </m:ctrlPr>
            </m:sup>
            <m:e>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AP</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r,i</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MP</m:t>
                  </m:r>
                  <m:ctrlPr>
                    <w:rPr>
                      <w:rFonts w:ascii="Cambria Math" w:hAnsi="Cambria Math" w:cs="Times New Roman"/>
                      <w:i/>
                      <w:color w:val="auto"/>
                      <w:szCs w:val="28"/>
                      <w:vertAlign w:val="subscript"/>
                    </w:rPr>
                  </m:ctrlPr>
                </m:e>
                <m:sub>
                  <m:r>
                    <m:rPr/>
                    <w:rPr>
                      <w:rFonts w:ascii="Cambria Math" w:hAnsi="Cambria Math" w:cs="Times New Roman"/>
                      <w:color w:val="auto"/>
                      <w:szCs w:val="28"/>
                      <w:vertAlign w:val="subscript"/>
                    </w:rPr>
                    <m:t>r</m:t>
                  </m:r>
                  <m:r>
                    <m:rPr>
                      <m:sty m:val="p"/>
                    </m:rPr>
                    <w:rPr>
                      <w:rFonts w:ascii="Cambria Math" w:hAnsi="Cambria Math" w:cs="Times New Roman"/>
                      <w:color w:val="auto"/>
                      <w:szCs w:val="28"/>
                      <w:vertAlign w:val="subscript"/>
                    </w:rPr>
                    <m:t>,i</m:t>
                  </m:r>
                  <m:ctrlPr>
                    <w:rPr>
                      <w:rFonts w:ascii="Cambria Math" w:hAnsi="Cambria Math" w:cs="Times New Roman"/>
                      <w:i/>
                      <w:color w:val="auto"/>
                      <w:szCs w:val="28"/>
                      <w:vertAlign w:val="subscript"/>
                    </w:rPr>
                  </m:ctrlPr>
                </m:sub>
              </m:sSub>
              <m:r>
                <m:rPr/>
                <w:rPr>
                  <w:rFonts w:ascii="Cambria Math" w:hAnsi="Cambria Math" w:cs="Times New Roman"/>
                  <w:color w:val="auto"/>
                  <w:szCs w:val="28"/>
                  <w:vertAlign w:val="subscript"/>
                </w:rPr>
                <m:t>÷</m:t>
              </m:r>
              <m:sSub>
                <m:sSubPr>
                  <m:ctrlPr>
                    <w:rPr>
                      <w:rFonts w:ascii="Cambria Math" w:hAnsi="Cambria Math" w:cs="Times New Roman"/>
                      <w:i/>
                      <w:color w:val="auto"/>
                      <w:szCs w:val="28"/>
                      <w:vertAlign w:val="subscript"/>
                    </w:rPr>
                  </m:ctrlPr>
                </m:sSubPr>
                <m:e>
                  <m:r>
                    <m:rPr/>
                    <w:rPr>
                      <w:rFonts w:ascii="Cambria Math" w:hAnsi="Cambria Math" w:cs="Times New Roman"/>
                      <w:color w:val="auto"/>
                      <w:szCs w:val="28"/>
                      <w:vertAlign w:val="subscript"/>
                    </w:rPr>
                    <m:t>MP</m:t>
                  </m:r>
                  <m:ctrlPr>
                    <w:rPr>
                      <w:rFonts w:ascii="Cambria Math" w:hAnsi="Cambria Math" w:cs="Times New Roman"/>
                      <w:i/>
                      <w:color w:val="auto"/>
                      <w:szCs w:val="28"/>
                      <w:vertAlign w:val="subscript"/>
                    </w:rPr>
                  </m:ctrlPr>
                </m:e>
                <m:sub>
                  <m:r>
                    <m:rPr>
                      <m:sty m:val="p"/>
                    </m:rPr>
                    <w:rPr>
                      <w:rFonts w:ascii="Cambria Math" w:hAnsi="Cambria Math" w:cs="Times New Roman"/>
                      <w:color w:val="auto"/>
                      <w:szCs w:val="28"/>
                      <w:vertAlign w:val="subscript"/>
                    </w:rPr>
                    <m:t>r,p</m:t>
                  </m:r>
                  <m:ctrlPr>
                    <w:rPr>
                      <w:rFonts w:ascii="Cambria Math" w:hAnsi="Cambria Math" w:cs="Times New Roman"/>
                      <w:i/>
                      <w:color w:val="auto"/>
                      <w:szCs w:val="28"/>
                      <w:vertAlign w:val="subscript"/>
                    </w:rPr>
                  </m:ctrlPr>
                </m:sub>
              </m:sSub>
              <m:ctrlPr>
                <w:rPr>
                  <w:rFonts w:ascii="Cambria Math" w:hAnsi="Cambria Math" w:cs="Times New Roman"/>
                  <w:i/>
                  <w:color w:val="auto"/>
                  <w:szCs w:val="28"/>
                  <w:vertAlign w:val="subscript"/>
                </w:rPr>
              </m:ctrlPr>
            </m:e>
          </m:nary>
        </m:oMath>
      </m:oMathPara>
    </w:p>
    <w:p>
      <w:pPr>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式中:</w:t>
      </w:r>
    </w:p>
    <w:p>
      <w:pPr>
        <w:topLinePunct/>
        <w:adjustRightInd/>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AP</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r,i</m:t>
            </m:r>
            <m:ctrlPr>
              <w:rPr>
                <w:rFonts w:ascii="Cambria Math" w:hAnsi="Cambria Math" w:cs="Times New Roman"/>
                <w:i/>
                <w:color w:val="auto"/>
                <w:sz w:val="32"/>
                <w:szCs w:val="32"/>
                <w:vertAlign w:val="subscript"/>
              </w:rPr>
            </m:ctrlPr>
          </m:sub>
        </m:sSub>
        <m:r>
          <m:rPr>
            <m:sty m:val="p"/>
          </m:rPr>
          <w:rPr>
            <w:rFonts w:ascii="Cambria Math" w:hAnsi="Cambria Math" w:cs="Times New Roman"/>
            <w:color w:val="auto"/>
            <w:sz w:val="32"/>
            <w:szCs w:val="32"/>
            <w:vertAlign w:val="subscript"/>
          </w:rPr>
          <m:t>，</m:t>
        </m:r>
      </m:oMath>
      <w:r>
        <w:rPr>
          <w:rFonts w:ascii="Times New Roman" w:hAnsi="Times New Roman" w:cs="Times New Roman"/>
          <w:color w:val="auto"/>
          <w:sz w:val="32"/>
          <w:szCs w:val="32"/>
        </w:rPr>
        <w:t>边界内第i种畜禽年均存栏量的数值，单位为头或只；</w:t>
      </w:r>
    </w:p>
    <w:p>
      <w:pPr>
        <w:topLinePunct/>
        <w:adjustRightInd/>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MP</m:t>
            </m:r>
            <m:ctrlPr>
              <w:rPr>
                <w:rFonts w:ascii="Cambria Math" w:hAnsi="Cambria Math" w:cs="Times New Roman"/>
                <w:i/>
                <w:color w:val="auto"/>
                <w:sz w:val="32"/>
                <w:szCs w:val="32"/>
                <w:vertAlign w:val="subscript"/>
              </w:rPr>
            </m:ctrlPr>
          </m:e>
          <m:sub>
            <m:r>
              <m:rPr/>
              <w:rPr>
                <w:rFonts w:ascii="Cambria Math" w:hAnsi="Cambria Math" w:cs="Times New Roman"/>
                <w:color w:val="auto"/>
                <w:sz w:val="32"/>
                <w:szCs w:val="32"/>
                <w:vertAlign w:val="subscript"/>
              </w:rPr>
              <m:t>r</m:t>
            </m:r>
            <m:r>
              <m:rPr>
                <m:sty m:val="p"/>
              </m:rPr>
              <w:rPr>
                <w:rFonts w:ascii="Cambria Math" w:hAnsi="Cambria Math" w:cs="Times New Roman"/>
                <w:color w:val="auto"/>
                <w:sz w:val="32"/>
                <w:szCs w:val="32"/>
                <w:vertAlign w:val="subscript"/>
              </w:rPr>
              <m:t>,i</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，第i种畜禽粪便中氮(磷)日排泄量的数值，单位为克每天每头或只；主要畜禽氮(磷)排泄量推荐值见表3.2-5；</w:t>
      </w:r>
    </w:p>
    <w:p>
      <w:pPr>
        <w:topLinePunct/>
        <w:adjustRightInd/>
        <w:spacing w:line="570" w:lineRule="exact"/>
        <w:ind w:firstLine="640"/>
        <w:jc w:val="both"/>
        <w:rPr>
          <w:rFonts w:ascii="Times New Roman" w:hAnsi="Times New Roman" w:cs="Times New Roman"/>
          <w:color w:val="auto"/>
          <w:sz w:val="32"/>
          <w:szCs w:val="32"/>
        </w:rPr>
      </w:pPr>
      <m:oMath>
        <m:sSub>
          <m:sSubPr>
            <m:ctrlPr>
              <w:rPr>
                <w:rFonts w:ascii="Cambria Math" w:hAnsi="Cambria Math" w:cs="Times New Roman"/>
                <w:i/>
                <w:color w:val="auto"/>
                <w:sz w:val="32"/>
                <w:szCs w:val="32"/>
                <w:vertAlign w:val="subscript"/>
              </w:rPr>
            </m:ctrlPr>
          </m:sSubPr>
          <m:e>
            <m:r>
              <m:rPr/>
              <w:rPr>
                <w:rFonts w:ascii="Cambria Math" w:hAnsi="Cambria Math" w:cs="Times New Roman"/>
                <w:color w:val="auto"/>
                <w:sz w:val="32"/>
                <w:szCs w:val="32"/>
                <w:vertAlign w:val="subscript"/>
              </w:rPr>
              <m:t>MP</m:t>
            </m:r>
            <m:ctrlPr>
              <w:rPr>
                <w:rFonts w:ascii="Cambria Math" w:hAnsi="Cambria Math" w:cs="Times New Roman"/>
                <w:i/>
                <w:color w:val="auto"/>
                <w:sz w:val="32"/>
                <w:szCs w:val="32"/>
                <w:vertAlign w:val="subscript"/>
              </w:rPr>
            </m:ctrlPr>
          </m:e>
          <m:sub>
            <m:r>
              <m:rPr>
                <m:sty m:val="p"/>
              </m:rPr>
              <w:rPr>
                <w:rFonts w:ascii="Cambria Math" w:hAnsi="Cambria Math" w:cs="Times New Roman"/>
                <w:color w:val="auto"/>
                <w:sz w:val="32"/>
                <w:szCs w:val="32"/>
                <w:vertAlign w:val="subscript"/>
              </w:rPr>
              <m:t>r,p</m:t>
            </m:r>
            <m:ctrlPr>
              <w:rPr>
                <w:rFonts w:ascii="Cambria Math" w:hAnsi="Cambria Math" w:cs="Times New Roman"/>
                <w:i/>
                <w:color w:val="auto"/>
                <w:sz w:val="32"/>
                <w:szCs w:val="32"/>
                <w:vertAlign w:val="subscript"/>
              </w:rPr>
            </m:ctrlPr>
          </m:sub>
        </m:sSub>
      </m:oMath>
      <w:r>
        <w:rPr>
          <w:rFonts w:ascii="Times New Roman" w:hAnsi="Times New Roman" w:cs="Times New Roman"/>
          <w:color w:val="auto"/>
          <w:sz w:val="32"/>
          <w:szCs w:val="32"/>
        </w:rPr>
        <w:t>，猪排泄粪便中氮(磷)的日产生量的数值，单位为克每天每头。</w:t>
      </w:r>
    </w:p>
    <w:p>
      <w:pPr>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综合考虑畜禽粪污养分在收集、处理和贮存过程中的损失，长清区2021年单位猪当量氮养分供给量为</w:t>
      </w:r>
      <w:r>
        <w:rPr>
          <w:rFonts w:hint="eastAsia" w:ascii="Times New Roman" w:hAnsi="Times New Roman" w:cs="Times New Roman"/>
          <w:color w:val="auto"/>
          <w:sz w:val="32"/>
          <w:szCs w:val="32"/>
        </w:rPr>
        <w:t>6.605</w:t>
      </w:r>
      <w:r>
        <w:rPr>
          <w:rFonts w:ascii="Times New Roman" w:hAnsi="Times New Roman" w:cs="Times New Roman"/>
          <w:color w:val="auto"/>
          <w:sz w:val="32"/>
          <w:szCs w:val="32"/>
        </w:rPr>
        <w:t>kg，磷养分供给量为</w:t>
      </w:r>
      <w:r>
        <w:rPr>
          <w:rFonts w:hint="eastAsia" w:ascii="Times New Roman" w:hAnsi="Times New Roman" w:cs="Times New Roman"/>
          <w:color w:val="auto"/>
          <w:sz w:val="32"/>
          <w:szCs w:val="32"/>
        </w:rPr>
        <w:t>1.204</w:t>
      </w:r>
      <w:r>
        <w:rPr>
          <w:rFonts w:ascii="Times New Roman" w:hAnsi="Times New Roman" w:cs="Times New Roman"/>
          <w:color w:val="auto"/>
          <w:sz w:val="32"/>
          <w:szCs w:val="32"/>
        </w:rPr>
        <w:t>kg。</w:t>
      </w:r>
    </w:p>
    <w:p>
      <w:pPr>
        <w:topLinePunct/>
        <w:adjustRightInd/>
        <w:spacing w:line="570" w:lineRule="exact"/>
        <w:ind w:firstLine="643"/>
        <w:jc w:val="both"/>
        <w:rPr>
          <w:rFonts w:ascii="Times New Roman" w:hAnsi="Times New Roman" w:cs="Times New Roman"/>
          <w:b/>
          <w:bCs/>
          <w:color w:val="auto"/>
          <w:sz w:val="32"/>
          <w:szCs w:val="32"/>
        </w:rPr>
      </w:pPr>
      <w:r>
        <w:rPr>
          <w:rFonts w:ascii="Times New Roman" w:hAnsi="Times New Roman" w:cs="Times New Roman"/>
          <w:b/>
          <w:bCs/>
          <w:color w:val="auto"/>
          <w:sz w:val="32"/>
          <w:szCs w:val="32"/>
        </w:rPr>
        <w:t>3.畜禽粪污土地承载力分析</w:t>
      </w:r>
    </w:p>
    <w:p>
      <w:pPr>
        <w:topLinePunct/>
        <w:adjustRightInd/>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根据《畜禽粪污土地承载力测算技术指南》（农办牧[2018]1号）和《畜禽粪便土地承载力测算方法》（NY/T3877），以养分平衡为基础，进行畜禽粪污土地承载力及承载力余量的测算。测算结果见表3.2-1</w:t>
      </w:r>
      <w:r>
        <w:rPr>
          <w:rFonts w:hint="eastAsia" w:ascii="Times New Roman" w:hAnsi="Times New Roman" w:cs="Times New Roman"/>
          <w:color w:val="auto"/>
          <w:sz w:val="32"/>
          <w:szCs w:val="32"/>
        </w:rPr>
        <w:t>2</w:t>
      </w:r>
      <w:r>
        <w:rPr>
          <w:rFonts w:ascii="Times New Roman" w:hAnsi="Times New Roman" w:cs="Times New Roman"/>
          <w:color w:val="auto"/>
          <w:sz w:val="32"/>
          <w:szCs w:val="32"/>
        </w:rPr>
        <w:t>。</w:t>
      </w:r>
    </w:p>
    <w:p>
      <w:pPr>
        <w:ind w:firstLine="0" w:firstLineChars="0"/>
        <w:jc w:val="center"/>
        <w:rPr>
          <w:rFonts w:ascii="Times New Roman" w:hAnsi="Times New Roman" w:cs="Times New Roman"/>
          <w:b/>
          <w:color w:val="auto"/>
          <w:sz w:val="24"/>
        </w:rPr>
      </w:pPr>
    </w:p>
    <w:p>
      <w:pPr>
        <w:ind w:firstLine="0" w:firstLineChars="0"/>
        <w:jc w:val="center"/>
        <w:rPr>
          <w:rFonts w:ascii="Times New Roman" w:hAnsi="Times New Roman" w:cs="Times New Roman"/>
          <w:b/>
          <w:bCs/>
          <w:color w:val="auto"/>
        </w:rPr>
      </w:pPr>
      <w:r>
        <w:rPr>
          <w:rFonts w:ascii="Times New Roman" w:hAnsi="Times New Roman" w:cs="Times New Roman"/>
          <w:b/>
          <w:color w:val="auto"/>
          <w:sz w:val="24"/>
        </w:rPr>
        <w:t>表3.2-1</w:t>
      </w:r>
      <w:r>
        <w:rPr>
          <w:rFonts w:hint="eastAsia" w:ascii="Times New Roman" w:hAnsi="Times New Roman" w:cs="Times New Roman"/>
          <w:b/>
          <w:color w:val="auto"/>
          <w:sz w:val="24"/>
        </w:rPr>
        <w:t>2  2021年</w:t>
      </w:r>
      <w:r>
        <w:rPr>
          <w:rFonts w:ascii="Times New Roman" w:hAnsi="Times New Roman" w:cs="Times New Roman"/>
          <w:b/>
          <w:color w:val="auto"/>
          <w:sz w:val="24"/>
        </w:rPr>
        <w:t>区域畜禽粪便土地承载力对比一览表</w:t>
      </w:r>
      <w:r>
        <w:rPr>
          <w:rFonts w:hint="eastAsia" w:ascii="Times New Roman" w:hAnsi="Times New Roman" w:cs="Times New Roman"/>
          <w:b/>
          <w:color w:val="auto"/>
          <w:sz w:val="24"/>
        </w:rPr>
        <w:t xml:space="preserve"> </w:t>
      </w:r>
      <w:r>
        <w:rPr>
          <w:rFonts w:ascii="Times New Roman" w:hAnsi="Times New Roman" w:cs="Times New Roman"/>
          <w:b/>
          <w:color w:val="auto"/>
          <w:sz w:val="24"/>
        </w:rPr>
        <w:t>单位：猪当量/年</w:t>
      </w:r>
    </w:p>
    <w:tbl>
      <w:tblPr>
        <w:tblStyle w:val="30"/>
        <w:tblW w:w="96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05"/>
        <w:gridCol w:w="1438"/>
        <w:gridCol w:w="1590"/>
        <w:gridCol w:w="1785"/>
        <w:gridCol w:w="1245"/>
        <w:gridCol w:w="1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序号</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镇街</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区域实际养殖量A（头）</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区域畜禽粪便土地承载力R（头，以氮计）</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A</w:t>
            </w:r>
            <w:r>
              <w:rPr>
                <w:rFonts w:hint="eastAsia" w:ascii="Times New Roman" w:hAnsi="Times New Roman" w:cs="Times New Roman"/>
                <w:b/>
                <w:bCs/>
                <w:color w:val="auto"/>
                <w:kern w:val="0"/>
                <w:sz w:val="21"/>
                <w:szCs w:val="21"/>
              </w:rPr>
              <w:t>/</w:t>
            </w:r>
            <w:r>
              <w:rPr>
                <w:rFonts w:ascii="Times New Roman" w:hAnsi="Times New Roman" w:cs="Times New Roman"/>
                <w:b/>
                <w:bCs/>
                <w:color w:val="auto"/>
                <w:kern w:val="0"/>
                <w:sz w:val="21"/>
                <w:szCs w:val="21"/>
              </w:rPr>
              <w:t>R</w:t>
            </w:r>
            <w:r>
              <w:rPr>
                <w:rFonts w:hint="eastAsia" w:ascii="Times New Roman" w:hAnsi="Times New Roman" w:cs="Times New Roman"/>
                <w:b/>
                <w:bCs/>
                <w:color w:val="auto"/>
                <w:kern w:val="0"/>
                <w:sz w:val="21"/>
                <w:szCs w:val="21"/>
              </w:rPr>
              <w:t>（%）</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预警值（R×80%）</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是否总量超载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1</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文昌街道</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29843</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112586</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26.51</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90069</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2</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归德街道</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72972</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320853</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22.74</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256683</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3</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平安街道</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27450</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78734</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34.86</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62987</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4</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张夏街道</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24451</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92100</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26.55</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73680</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5</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马山镇</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44772</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119416</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37.49</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95533</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6</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孝里街道</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30201</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237532</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12.71</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190026</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7</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万德街道</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25936</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208231</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12.46</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166585</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8</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五峰山街道</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9060</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110469</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8.20</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88375</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9</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双泉镇</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3905</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174022</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2.24</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139217</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10</w:t>
            </w: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崮云湖街道</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3690</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37985</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9.71</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30388</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p>
        </w:tc>
        <w:tc>
          <w:tcPr>
            <w:tcW w:w="150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合计</w:t>
            </w:r>
          </w:p>
        </w:tc>
        <w:tc>
          <w:tcPr>
            <w:tcW w:w="1438"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272280</w:t>
            </w:r>
          </w:p>
        </w:tc>
        <w:tc>
          <w:tcPr>
            <w:tcW w:w="1590"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1491928</w:t>
            </w:r>
          </w:p>
        </w:tc>
        <w:tc>
          <w:tcPr>
            <w:tcW w:w="178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18.25</w:t>
            </w:r>
          </w:p>
        </w:tc>
        <w:tc>
          <w:tcPr>
            <w:tcW w:w="124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1193543</w:t>
            </w:r>
          </w:p>
        </w:tc>
        <w:tc>
          <w:tcPr>
            <w:tcW w:w="1215" w:type="dxa"/>
            <w:tcBorders>
              <w:tl2br w:val="nil"/>
              <w:tr2bl w:val="nil"/>
            </w:tcBorders>
            <w:vAlign w:val="center"/>
          </w:tcPr>
          <w:p>
            <w:pPr>
              <w:adjustRightInd/>
              <w:spacing w:line="240" w:lineRule="auto"/>
              <w:ind w:firstLine="0" w:firstLineChars="0"/>
              <w:jc w:val="center"/>
              <w:textAlignment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否</w:t>
            </w:r>
          </w:p>
        </w:tc>
      </w:tr>
    </w:tbl>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本次规划按照区域畜禽粪便土地承载力的80%设置了预警值，当区域畜禽养殖量达到或超过预警值后，可采取养殖总量控制或污染防治措施优化等措施。根据测算结果，目前全区各</w:t>
      </w:r>
      <w:r>
        <w:rPr>
          <w:rFonts w:hint="eastAsia" w:ascii="Times New Roman" w:hAnsi="Times New Roman" w:cs="Times New Roman"/>
          <w:color w:val="auto"/>
          <w:sz w:val="32"/>
          <w:szCs w:val="32"/>
        </w:rPr>
        <w:t>镇街</w:t>
      </w:r>
      <w:r>
        <w:rPr>
          <w:rFonts w:ascii="Times New Roman" w:hAnsi="Times New Roman" w:cs="Times New Roman"/>
          <w:color w:val="auto"/>
          <w:sz w:val="32"/>
          <w:szCs w:val="32"/>
        </w:rPr>
        <w:t>均未达到预警值。</w:t>
      </w:r>
    </w:p>
    <w:p>
      <w:pPr>
        <w:pStyle w:val="54"/>
        <w:widowControl w:val="0"/>
        <w:spacing w:beforeLines="0" w:afterLines="0" w:line="570" w:lineRule="exact"/>
        <w:ind w:firstLine="640"/>
        <w:jc w:val="both"/>
        <w:rPr>
          <w:rFonts w:ascii="Times New Roman" w:hAnsi="Times New Roman" w:cs="Times New Roman"/>
          <w:b w:val="0"/>
          <w:color w:val="auto"/>
          <w:sz w:val="32"/>
          <w:szCs w:val="32"/>
        </w:rPr>
      </w:pPr>
      <w:r>
        <w:rPr>
          <w:rFonts w:ascii="Times New Roman" w:hAnsi="Times New Roman" w:cs="Times New Roman"/>
          <w:b w:val="0"/>
          <w:color w:val="auto"/>
          <w:sz w:val="32"/>
          <w:szCs w:val="32"/>
        </w:rPr>
        <w:t>根据土地承载力测算结果可知，长清区现有耕地、园地、林地可承载猪当量为</w:t>
      </w:r>
      <w:r>
        <w:rPr>
          <w:rFonts w:hint="eastAsia" w:ascii="Times New Roman" w:hAnsi="Times New Roman" w:cs="Times New Roman"/>
          <w:b w:val="0"/>
          <w:color w:val="auto"/>
          <w:sz w:val="32"/>
          <w:szCs w:val="32"/>
        </w:rPr>
        <w:t>1491928</w:t>
      </w:r>
      <w:r>
        <w:rPr>
          <w:rFonts w:ascii="Times New Roman" w:hAnsi="Times New Roman" w:cs="Times New Roman"/>
          <w:b w:val="0"/>
          <w:color w:val="auto"/>
          <w:sz w:val="32"/>
          <w:szCs w:val="32"/>
        </w:rPr>
        <w:t>头，实际养殖量为</w:t>
      </w:r>
      <w:r>
        <w:rPr>
          <w:rFonts w:hint="eastAsia" w:ascii="Times New Roman" w:hAnsi="Times New Roman" w:cs="Times New Roman"/>
          <w:b w:val="0"/>
          <w:color w:val="auto"/>
          <w:sz w:val="32"/>
          <w:szCs w:val="32"/>
        </w:rPr>
        <w:t>272280头</w:t>
      </w:r>
      <w:r>
        <w:rPr>
          <w:rFonts w:ascii="Times New Roman" w:hAnsi="Times New Roman" w:cs="Times New Roman"/>
          <w:b w:val="0"/>
          <w:color w:val="auto"/>
          <w:sz w:val="32"/>
          <w:szCs w:val="32"/>
        </w:rPr>
        <w:t>，</w:t>
      </w:r>
      <w:r>
        <w:rPr>
          <w:rFonts w:hint="eastAsia" w:ascii="Times New Roman" w:hAnsi="Times New Roman" w:cs="Times New Roman"/>
          <w:b w:val="0"/>
          <w:color w:val="auto"/>
          <w:sz w:val="32"/>
          <w:szCs w:val="32"/>
        </w:rPr>
        <w:t>现有畜禽养殖猪当量占</w:t>
      </w:r>
      <w:r>
        <w:rPr>
          <w:rFonts w:ascii="Times New Roman" w:hAnsi="Times New Roman" w:cs="Times New Roman"/>
          <w:b w:val="0"/>
          <w:color w:val="auto"/>
          <w:sz w:val="32"/>
          <w:szCs w:val="32"/>
        </w:rPr>
        <w:t>区域畜禽粪便土地承载力</w:t>
      </w:r>
      <w:r>
        <w:rPr>
          <w:rFonts w:hint="eastAsia" w:ascii="Times New Roman" w:hAnsi="Times New Roman" w:cs="Times New Roman"/>
          <w:b w:val="0"/>
          <w:color w:val="auto"/>
          <w:sz w:val="32"/>
          <w:szCs w:val="32"/>
        </w:rPr>
        <w:t>的18.25%，现有畜禽养殖猪当量占</w:t>
      </w:r>
      <w:r>
        <w:rPr>
          <w:rFonts w:ascii="Times New Roman" w:hAnsi="Times New Roman" w:cs="Times New Roman"/>
          <w:b w:val="0"/>
          <w:color w:val="auto"/>
          <w:sz w:val="32"/>
          <w:szCs w:val="32"/>
        </w:rPr>
        <w:t>区域畜禽粪便土地承载力</w:t>
      </w:r>
      <w:r>
        <w:rPr>
          <w:rFonts w:hint="eastAsia" w:ascii="Times New Roman" w:hAnsi="Times New Roman" w:cs="Times New Roman"/>
          <w:b w:val="0"/>
          <w:color w:val="auto"/>
          <w:sz w:val="32"/>
          <w:szCs w:val="32"/>
        </w:rPr>
        <w:t>阈值的22.81%，</w:t>
      </w:r>
      <w:r>
        <w:rPr>
          <w:rFonts w:ascii="Times New Roman" w:hAnsi="Times New Roman" w:cs="Times New Roman"/>
          <w:b w:val="0"/>
          <w:color w:val="auto"/>
          <w:sz w:val="32"/>
          <w:szCs w:val="32"/>
        </w:rPr>
        <w:t>从全区各</w:t>
      </w:r>
      <w:r>
        <w:rPr>
          <w:rFonts w:hint="eastAsia" w:ascii="Times New Roman" w:hAnsi="Times New Roman" w:cs="Times New Roman"/>
          <w:b w:val="0"/>
          <w:color w:val="auto"/>
          <w:sz w:val="32"/>
          <w:szCs w:val="32"/>
        </w:rPr>
        <w:t>镇街</w:t>
      </w:r>
      <w:r>
        <w:rPr>
          <w:rFonts w:ascii="Times New Roman" w:hAnsi="Times New Roman" w:cs="Times New Roman"/>
          <w:b w:val="0"/>
          <w:color w:val="auto"/>
          <w:sz w:val="32"/>
          <w:szCs w:val="32"/>
        </w:rPr>
        <w:t>土地承载力余量来看，现有耕地、园地、林地、草地</w:t>
      </w:r>
      <w:r>
        <w:rPr>
          <w:rFonts w:hint="eastAsia" w:ascii="Times New Roman" w:hAnsi="Times New Roman" w:cs="Times New Roman"/>
          <w:b w:val="0"/>
          <w:color w:val="auto"/>
          <w:sz w:val="32"/>
          <w:szCs w:val="32"/>
        </w:rPr>
        <w:t>等</w:t>
      </w:r>
      <w:r>
        <w:rPr>
          <w:rFonts w:ascii="Times New Roman" w:hAnsi="Times New Roman" w:cs="Times New Roman"/>
          <w:b w:val="0"/>
          <w:color w:val="auto"/>
          <w:sz w:val="32"/>
          <w:szCs w:val="32"/>
        </w:rPr>
        <w:t>能够全部消纳畜禽养殖所产生的粪污量。</w:t>
      </w:r>
    </w:p>
    <w:p>
      <w:pPr>
        <w:pStyle w:val="54"/>
        <w:widowControl w:val="0"/>
        <w:spacing w:beforeLines="0" w:afterLines="0" w:line="570" w:lineRule="exact"/>
        <w:ind w:firstLine="640"/>
        <w:jc w:val="both"/>
        <w:rPr>
          <w:rFonts w:hint="eastAsia" w:ascii="仿宋_GB2312" w:hAnsi="Times New Roman" w:cs="Times New Roman"/>
          <w:b w:val="0"/>
          <w:color w:val="auto"/>
          <w:sz w:val="32"/>
          <w:szCs w:val="32"/>
        </w:rPr>
      </w:pPr>
      <w:r>
        <w:rPr>
          <w:rFonts w:hint="eastAsia" w:ascii="仿宋_GB2312" w:hAnsi="Times New Roman" w:cs="Times New Roman"/>
          <w:b w:val="0"/>
          <w:color w:val="auto"/>
          <w:sz w:val="32"/>
          <w:szCs w:val="32"/>
        </w:rPr>
        <w:t>另外，由于长清区</w:t>
      </w:r>
      <w:r>
        <w:rPr>
          <w:rFonts w:hint="eastAsia" w:ascii="仿宋_GB2312" w:hAnsi="Times New Roman" w:cs="FangSong_GB2312"/>
          <w:b w:val="0"/>
          <w:bCs/>
          <w:color w:val="auto"/>
          <w:sz w:val="32"/>
          <w:szCs w:val="32"/>
        </w:rPr>
        <w:t>涉及沿黄区县、马山镇、双泉镇全域规划等，养殖业土地手续办理难度加大以及养殖业行情不佳、从业人员减少，导致目前整体养殖量呈现减少趋势，畜禽粪污及病死动物产生量在规划期间趋于减少</w:t>
      </w:r>
      <w:r>
        <w:rPr>
          <w:rFonts w:hint="eastAsia" w:ascii="仿宋_GB2312" w:hAnsi="Times New Roman" w:cs="Times New Roman"/>
          <w:b w:val="0"/>
          <w:color w:val="auto"/>
          <w:sz w:val="32"/>
          <w:szCs w:val="32"/>
        </w:rPr>
        <w:t>。因此，规划期间长清区畜禽粪污土地承载力、病死动物无害化处理厂及相关设施承载力能够满足畜禽养殖业发展需求。</w:t>
      </w:r>
    </w:p>
    <w:p>
      <w:pPr>
        <w:pStyle w:val="4"/>
        <w:spacing w:beforeLines="0" w:afterLines="0" w:line="570" w:lineRule="exact"/>
        <w:ind w:firstLine="641"/>
        <w:jc w:val="both"/>
        <w:rPr>
          <w:rFonts w:eastAsia="华文楷体"/>
          <w:color w:val="auto"/>
          <w:sz w:val="32"/>
          <w:szCs w:val="32"/>
        </w:rPr>
      </w:pPr>
      <w:bookmarkStart w:id="103" w:name="_Toc31096"/>
      <w:r>
        <w:rPr>
          <w:rFonts w:eastAsia="华文楷体"/>
          <w:color w:val="auto"/>
          <w:sz w:val="32"/>
          <w:szCs w:val="32"/>
        </w:rPr>
        <w:t>3.3目标可达性分析</w:t>
      </w:r>
      <w:bookmarkEnd w:id="103"/>
      <w:bookmarkStart w:id="104" w:name="_Toc117837753"/>
      <w:bookmarkStart w:id="105" w:name="_Toc6768"/>
      <w:bookmarkStart w:id="106" w:name="_Toc117788579"/>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3.3.1</w:t>
      </w:r>
      <w:r>
        <w:rPr>
          <w:color w:val="auto"/>
          <w:sz w:val="32"/>
          <w:szCs w:val="32"/>
        </w:rPr>
        <w:t>畜禽粪污综合利用率</w:t>
      </w:r>
      <w:bookmarkEnd w:id="104"/>
      <w:bookmarkEnd w:id="105"/>
      <w:bookmarkEnd w:id="106"/>
    </w:p>
    <w:p>
      <w:pPr>
        <w:widowControl w:val="0"/>
        <w:spacing w:line="570" w:lineRule="exact"/>
        <w:ind w:firstLine="640"/>
        <w:jc w:val="both"/>
        <w:rPr>
          <w:rFonts w:ascii="Times New Roman" w:hAnsi="Times New Roman" w:cs="Times New Roman"/>
          <w:color w:val="auto"/>
          <w:sz w:val="32"/>
          <w:szCs w:val="32"/>
        </w:rPr>
      </w:pPr>
      <w:bookmarkStart w:id="107" w:name="_Toc117837754"/>
      <w:bookmarkStart w:id="108" w:name="_Toc117788580"/>
      <w:bookmarkStart w:id="109" w:name="_Toc25480"/>
      <w:r>
        <w:rPr>
          <w:rFonts w:hint="eastAsia" w:ascii="Times New Roman" w:hAnsi="Times New Roman" w:cs="Times New Roman"/>
          <w:color w:val="auto"/>
          <w:sz w:val="32"/>
          <w:szCs w:val="32"/>
        </w:rPr>
        <w:t>据统计，</w:t>
      </w:r>
      <w:r>
        <w:rPr>
          <w:rFonts w:ascii="Times New Roman" w:hAnsi="Times New Roman" w:cs="Times New Roman"/>
          <w:color w:val="auto"/>
          <w:sz w:val="32"/>
          <w:szCs w:val="32"/>
        </w:rPr>
        <w:t>2021年长清区畜禽粪污综合利用率已经达到</w:t>
      </w:r>
      <w:r>
        <w:rPr>
          <w:rFonts w:hint="eastAsia" w:ascii="Times New Roman" w:hAnsi="Times New Roman" w:cs="Times New Roman"/>
          <w:color w:val="auto"/>
          <w:sz w:val="32"/>
          <w:szCs w:val="32"/>
        </w:rPr>
        <w:t>91.09</w:t>
      </w:r>
      <w:r>
        <w:rPr>
          <w:rFonts w:ascii="Times New Roman" w:hAnsi="Times New Roman" w:cs="Times New Roman"/>
          <w:color w:val="auto"/>
          <w:sz w:val="32"/>
          <w:szCs w:val="32"/>
        </w:rPr>
        <w:t>%，</w:t>
      </w:r>
      <w:r>
        <w:rPr>
          <w:rFonts w:hint="eastAsia" w:ascii="Times New Roman" w:hAnsi="Times New Roman" w:cs="Times New Roman"/>
          <w:color w:val="auto"/>
          <w:sz w:val="32"/>
          <w:szCs w:val="32"/>
        </w:rPr>
        <w:t>规划实施期间通过</w:t>
      </w:r>
      <w:r>
        <w:rPr>
          <w:rFonts w:ascii="Times New Roman" w:hAnsi="Times New Roman" w:cs="Times New Roman"/>
          <w:color w:val="auto"/>
          <w:sz w:val="32"/>
          <w:szCs w:val="32"/>
        </w:rPr>
        <w:t>鼓励畜禽规模养殖场实施高标准畜禽粪污综合处理利用设施改造提升</w:t>
      </w:r>
      <w:r>
        <w:rPr>
          <w:rFonts w:hint="eastAsia"/>
          <w:color w:val="auto"/>
          <w:sz w:val="32"/>
          <w:szCs w:val="32"/>
        </w:rPr>
        <w:t>；</w:t>
      </w:r>
      <w:r>
        <w:rPr>
          <w:rFonts w:hint="eastAsia" w:ascii="Times New Roman" w:hAnsi="Times New Roman" w:cs="Times New Roman"/>
          <w:color w:val="auto"/>
          <w:sz w:val="32"/>
          <w:szCs w:val="32"/>
        </w:rPr>
        <w:t>探索新型种养结合、农牧循环粪污处理利用模式；结合涉农资金整合政策</w:t>
      </w:r>
      <w:r>
        <w:rPr>
          <w:rFonts w:ascii="Times New Roman" w:hAnsi="Times New Roman" w:cs="Times New Roman"/>
          <w:color w:val="auto"/>
          <w:sz w:val="32"/>
          <w:szCs w:val="32"/>
        </w:rPr>
        <w:t>，解决</w:t>
      </w:r>
      <w:r>
        <w:rPr>
          <w:rFonts w:hint="eastAsia" w:ascii="Times New Roman" w:hAnsi="Times New Roman" w:cs="Times New Roman"/>
          <w:color w:val="auto"/>
          <w:sz w:val="32"/>
          <w:szCs w:val="32"/>
        </w:rPr>
        <w:t>畜禽废弃物综合利用</w:t>
      </w:r>
      <w:r>
        <w:rPr>
          <w:rFonts w:ascii="Times New Roman" w:hAnsi="Times New Roman" w:cs="Times New Roman"/>
          <w:color w:val="auto"/>
          <w:sz w:val="32"/>
          <w:szCs w:val="32"/>
        </w:rPr>
        <w:t>“最后一公里”问题</w:t>
      </w:r>
      <w:r>
        <w:rPr>
          <w:rFonts w:hint="eastAsia" w:ascii="Times New Roman" w:hAnsi="Times New Roman" w:cs="Times New Roman"/>
          <w:color w:val="auto"/>
          <w:sz w:val="32"/>
          <w:szCs w:val="32"/>
        </w:rPr>
        <w:t>，促使粪污就地就近还田利用；同时</w:t>
      </w:r>
      <w:r>
        <w:rPr>
          <w:rFonts w:hint="eastAsia"/>
          <w:color w:val="auto"/>
          <w:sz w:val="32"/>
          <w:szCs w:val="32"/>
        </w:rPr>
        <w:t>做好畜禽</w:t>
      </w:r>
      <w:r>
        <w:rPr>
          <w:rFonts w:ascii="Times New Roman" w:hAnsi="Times New Roman" w:cs="Times New Roman"/>
          <w:color w:val="auto"/>
          <w:sz w:val="32"/>
          <w:szCs w:val="32"/>
        </w:rPr>
        <w:t>粪污综合利用</w:t>
      </w:r>
      <w:r>
        <w:rPr>
          <w:rFonts w:hint="eastAsia" w:ascii="Times New Roman" w:hAnsi="Times New Roman" w:cs="Times New Roman"/>
          <w:color w:val="auto"/>
          <w:sz w:val="32"/>
          <w:szCs w:val="32"/>
        </w:rPr>
        <w:t>的日常监管与指导工作，</w:t>
      </w:r>
      <w:r>
        <w:rPr>
          <w:rFonts w:ascii="Times New Roman" w:hAnsi="Times New Roman" w:cs="Times New Roman"/>
          <w:color w:val="auto"/>
          <w:sz w:val="32"/>
          <w:szCs w:val="32"/>
        </w:rPr>
        <w:t>确保到2025年全区畜禽粪污综合利用率</w:t>
      </w:r>
      <w:r>
        <w:rPr>
          <w:rFonts w:hint="eastAsia" w:ascii="Times New Roman" w:hAnsi="Times New Roman" w:cs="Times New Roman"/>
          <w:color w:val="auto"/>
          <w:sz w:val="32"/>
          <w:szCs w:val="32"/>
        </w:rPr>
        <w:t>稳定在</w:t>
      </w:r>
      <w:r>
        <w:rPr>
          <w:rFonts w:ascii="Times New Roman" w:hAnsi="Times New Roman" w:cs="Times New Roman"/>
          <w:color w:val="auto"/>
          <w:sz w:val="32"/>
          <w:szCs w:val="32"/>
        </w:rPr>
        <w:t>90%以上。</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3.3.2</w:t>
      </w:r>
      <w:r>
        <w:rPr>
          <w:color w:val="auto"/>
          <w:sz w:val="32"/>
          <w:szCs w:val="32"/>
        </w:rPr>
        <w:t>粪污处理设施装备配套率</w:t>
      </w:r>
      <w:bookmarkEnd w:id="107"/>
      <w:bookmarkEnd w:id="108"/>
      <w:bookmarkEnd w:id="109"/>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据统计，</w:t>
      </w:r>
      <w:r>
        <w:rPr>
          <w:rFonts w:ascii="Times New Roman" w:hAnsi="Times New Roman" w:cs="Times New Roman"/>
          <w:color w:val="auto"/>
          <w:sz w:val="32"/>
          <w:szCs w:val="32"/>
        </w:rPr>
        <w:t>2021年长清区共有畜禽规模养殖场52家，畜禽粪污综合利用设施配套率达100%，并正常运转，健全了粪污利用档案；全区24</w:t>
      </w:r>
      <w:r>
        <w:rPr>
          <w:rFonts w:hint="eastAsia" w:ascii="Times New Roman" w:hAnsi="Times New Roman" w:cs="Times New Roman"/>
          <w:color w:val="auto"/>
          <w:sz w:val="32"/>
          <w:szCs w:val="32"/>
        </w:rPr>
        <w:t>2户</w:t>
      </w:r>
      <w:r>
        <w:rPr>
          <w:rFonts w:ascii="Times New Roman" w:hAnsi="Times New Roman" w:cs="Times New Roman"/>
          <w:color w:val="auto"/>
          <w:sz w:val="32"/>
          <w:szCs w:val="32"/>
        </w:rPr>
        <w:t>畜禽养殖</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畜禽粪污综合利用设施配套率达90%以上。随着环境管理要求的提高，实施清洁生产，进一步调整优化，减少污染物排放。新建规模养殖场及养殖</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应根据养殖情况，配套建设完善的粪污处理设施。</w:t>
      </w:r>
    </w:p>
    <w:p>
      <w:pPr>
        <w:pStyle w:val="5"/>
        <w:keepNext w:val="0"/>
        <w:keepLines w:val="0"/>
        <w:widowControl w:val="0"/>
        <w:spacing w:beforeLines="0" w:afterLines="0" w:line="570" w:lineRule="exact"/>
        <w:ind w:firstLine="643" w:firstLineChars="200"/>
        <w:jc w:val="both"/>
        <w:rPr>
          <w:color w:val="auto"/>
          <w:sz w:val="32"/>
          <w:szCs w:val="32"/>
        </w:rPr>
      </w:pPr>
      <w:bookmarkStart w:id="110" w:name="_Toc117837755"/>
      <w:bookmarkStart w:id="111" w:name="_Toc15254"/>
      <w:bookmarkStart w:id="112" w:name="_Toc117788581"/>
      <w:r>
        <w:rPr>
          <w:rFonts w:hint="eastAsia"/>
          <w:color w:val="auto"/>
          <w:sz w:val="32"/>
          <w:szCs w:val="32"/>
        </w:rPr>
        <w:t>3.3.3</w:t>
      </w:r>
      <w:r>
        <w:rPr>
          <w:color w:val="auto"/>
          <w:sz w:val="32"/>
          <w:szCs w:val="32"/>
        </w:rPr>
        <w:t>粪污资源化利用台账覆盖率</w:t>
      </w:r>
      <w:bookmarkEnd w:id="110"/>
      <w:bookmarkEnd w:id="111"/>
      <w:bookmarkEnd w:id="112"/>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据统计，</w:t>
      </w:r>
      <w:r>
        <w:rPr>
          <w:rFonts w:ascii="Times New Roman" w:hAnsi="Times New Roman" w:cs="Times New Roman"/>
          <w:color w:val="auto"/>
          <w:sz w:val="32"/>
          <w:szCs w:val="32"/>
        </w:rPr>
        <w:t>2021年长清区52家畜禽规模养殖场粪污资源化利用台账覆盖率</w:t>
      </w:r>
      <w:r>
        <w:rPr>
          <w:rFonts w:hint="eastAsia" w:ascii="Times New Roman" w:hAnsi="Times New Roman" w:cs="Times New Roman"/>
          <w:color w:val="auto"/>
          <w:sz w:val="32"/>
          <w:szCs w:val="32"/>
        </w:rPr>
        <w:t>已达到</w:t>
      </w:r>
      <w:r>
        <w:rPr>
          <w:rFonts w:ascii="Times New Roman" w:hAnsi="Times New Roman" w:cs="Times New Roman"/>
          <w:color w:val="auto"/>
          <w:sz w:val="32"/>
          <w:szCs w:val="32"/>
        </w:rPr>
        <w:t>100%</w:t>
      </w:r>
      <w:r>
        <w:rPr>
          <w:rFonts w:hint="eastAsia" w:ascii="Times New Roman" w:hAnsi="Times New Roman" w:cs="Times New Roman"/>
          <w:color w:val="auto"/>
          <w:sz w:val="32"/>
          <w:szCs w:val="32"/>
        </w:rPr>
        <w:t>。</w:t>
      </w:r>
      <w:r>
        <w:rPr>
          <w:rFonts w:ascii="Times New Roman" w:hAnsi="Times New Roman" w:cs="Times New Roman"/>
          <w:color w:val="auto"/>
          <w:sz w:val="32"/>
          <w:szCs w:val="32"/>
        </w:rPr>
        <w:t>根据山东省畜牧兽医局和山东省生态环境厅印发的《关于加强畜禽粪污资源化利用计划和台账管理的通知》（鲁牧畜发〔2022〕7号）文件要求，长清区拟通过加强宣传，</w:t>
      </w:r>
      <w:r>
        <w:rPr>
          <w:rFonts w:hint="eastAsia" w:ascii="Times New Roman" w:hAnsi="Times New Roman" w:cs="Times New Roman"/>
          <w:color w:val="auto"/>
          <w:sz w:val="32"/>
          <w:szCs w:val="32"/>
        </w:rPr>
        <w:t>督促规模养殖场制定年度畜禽粪污资源化利用计划，内容包括养殖品种、规模以及畜禽养殖废弃物的产生、排放和综合利用等情况；</w:t>
      </w:r>
      <w:r>
        <w:rPr>
          <w:rFonts w:ascii="Times New Roman" w:hAnsi="Times New Roman" w:cs="Times New Roman"/>
          <w:color w:val="auto"/>
          <w:sz w:val="32"/>
          <w:szCs w:val="32"/>
        </w:rPr>
        <w:t>指导畜禽规模养殖场将畜禽粪污资源化利用情况作为养殖档案的重要内容，建立和完善畜禽粪污资源化利用台账。通过强化指导服务，做好粪肥利用台账培训等措施，规范台账制度落地、实施、监管工作，确保到2025年，规模养殖场和畜禽</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粪污资源化利用台账覆盖率保持100%。</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3.3.4畜禽规模养殖率</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据统计，2021年长清区畜禽规模养殖比重为68.62%，拟通过</w:t>
      </w:r>
      <w:r>
        <w:rPr>
          <w:rFonts w:ascii="Times New Roman" w:hAnsi="Times New Roman" w:cs="Times New Roman"/>
          <w:color w:val="auto"/>
          <w:sz w:val="32"/>
          <w:szCs w:val="32"/>
        </w:rPr>
        <w:t>鼓励</w:t>
      </w:r>
      <w:r>
        <w:rPr>
          <w:rFonts w:hint="eastAsia" w:ascii="Times New Roman" w:hAnsi="Times New Roman" w:cs="Times New Roman"/>
          <w:color w:val="auto"/>
          <w:sz w:val="32"/>
          <w:szCs w:val="32"/>
        </w:rPr>
        <w:t>养殖量较大的专业户适当</w:t>
      </w:r>
      <w:r>
        <w:rPr>
          <w:rFonts w:ascii="Times New Roman" w:hAnsi="Times New Roman" w:cs="Times New Roman"/>
          <w:color w:val="auto"/>
          <w:sz w:val="32"/>
          <w:szCs w:val="32"/>
        </w:rPr>
        <w:t>扩大养殖规模</w:t>
      </w:r>
      <w:r>
        <w:rPr>
          <w:rFonts w:hint="eastAsia" w:ascii="Times New Roman" w:hAnsi="Times New Roman" w:cs="Times New Roman"/>
          <w:color w:val="auto"/>
          <w:sz w:val="32"/>
          <w:szCs w:val="32"/>
        </w:rPr>
        <w:t>，</w:t>
      </w:r>
      <w:r>
        <w:rPr>
          <w:rFonts w:ascii="Times New Roman" w:hAnsi="Times New Roman" w:cs="Times New Roman"/>
          <w:color w:val="auto"/>
          <w:sz w:val="32"/>
          <w:szCs w:val="32"/>
        </w:rPr>
        <w:t>提升改造基础设施，向规模化畜禽养殖场转变</w:t>
      </w:r>
      <w:r>
        <w:rPr>
          <w:rFonts w:hint="eastAsia" w:ascii="Times New Roman" w:hAnsi="Times New Roman" w:cs="Times New Roman"/>
          <w:color w:val="auto"/>
          <w:sz w:val="32"/>
          <w:szCs w:val="32"/>
        </w:rPr>
        <w:t>；</w:t>
      </w:r>
      <w:r>
        <w:rPr>
          <w:rFonts w:ascii="Times New Roman" w:hAnsi="Times New Roman" w:cs="Times New Roman"/>
          <w:color w:val="auto"/>
          <w:sz w:val="32"/>
          <w:szCs w:val="32"/>
        </w:rPr>
        <w:t>培训壮大养殖合作社</w:t>
      </w:r>
      <w:r>
        <w:rPr>
          <w:rFonts w:hint="eastAsia" w:ascii="Times New Roman" w:hAnsi="Times New Roman" w:cs="Times New Roman"/>
          <w:color w:val="auto"/>
          <w:sz w:val="32"/>
          <w:szCs w:val="32"/>
        </w:rPr>
        <w:t>、</w:t>
      </w:r>
      <w:r>
        <w:rPr>
          <w:rFonts w:ascii="Times New Roman" w:hAnsi="Times New Roman" w:cs="Times New Roman"/>
          <w:color w:val="auto"/>
          <w:sz w:val="32"/>
          <w:szCs w:val="32"/>
        </w:rPr>
        <w:t>家庭农场等规模养殖主体</w:t>
      </w:r>
      <w:r>
        <w:rPr>
          <w:rFonts w:hint="eastAsia" w:ascii="Times New Roman" w:hAnsi="Times New Roman" w:cs="Times New Roman"/>
          <w:color w:val="auto"/>
          <w:sz w:val="32"/>
          <w:szCs w:val="32"/>
        </w:rPr>
        <w:t>，</w:t>
      </w:r>
      <w:r>
        <w:rPr>
          <w:rFonts w:ascii="Times New Roman" w:hAnsi="Times New Roman" w:cs="Times New Roman"/>
          <w:color w:val="auto"/>
          <w:sz w:val="32"/>
          <w:szCs w:val="32"/>
        </w:rPr>
        <w:t>提升畜禽</w:t>
      </w:r>
      <w:r>
        <w:rPr>
          <w:rFonts w:hint="eastAsia" w:ascii="Times New Roman" w:hAnsi="Times New Roman" w:cs="Times New Roman"/>
          <w:color w:val="auto"/>
          <w:sz w:val="32"/>
          <w:szCs w:val="32"/>
        </w:rPr>
        <w:t>规模</w:t>
      </w:r>
      <w:r>
        <w:rPr>
          <w:rFonts w:ascii="Times New Roman" w:hAnsi="Times New Roman" w:cs="Times New Roman"/>
          <w:color w:val="auto"/>
          <w:sz w:val="32"/>
          <w:szCs w:val="32"/>
        </w:rPr>
        <w:t>养殖比重</w:t>
      </w:r>
      <w:r>
        <w:rPr>
          <w:rFonts w:hint="eastAsia" w:ascii="Times New Roman" w:hAnsi="Times New Roman" w:cs="Times New Roman"/>
          <w:color w:val="auto"/>
          <w:sz w:val="32"/>
          <w:szCs w:val="32"/>
        </w:rPr>
        <w:t>，到2025年完成市下达的</w:t>
      </w:r>
      <w:r>
        <w:rPr>
          <w:rFonts w:ascii="Times New Roman" w:hAnsi="Times New Roman" w:cs="Times New Roman"/>
          <w:color w:val="auto"/>
          <w:sz w:val="32"/>
          <w:szCs w:val="32"/>
        </w:rPr>
        <w:t>畜禽规模养殖比重</w:t>
      </w:r>
      <w:r>
        <w:rPr>
          <w:rFonts w:hint="eastAsia" w:ascii="Times New Roman" w:hAnsi="Times New Roman" w:cs="Times New Roman"/>
          <w:color w:val="auto"/>
          <w:sz w:val="32"/>
          <w:szCs w:val="32"/>
        </w:rPr>
        <w:t>任务指标</w:t>
      </w:r>
      <w:r>
        <w:rPr>
          <w:rFonts w:ascii="Times New Roman" w:hAnsi="Times New Roman" w:cs="Times New Roman"/>
          <w:color w:val="auto"/>
          <w:sz w:val="32"/>
          <w:szCs w:val="32"/>
        </w:rPr>
        <w:t>。</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3.3.5取得排污许可证的畜禽规模养殖场按照排污许可证要求自行监测覆盖率</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2021年长清区畜禽规模养殖场均实行排污登记制，无需开展自行监测</w:t>
      </w:r>
      <w:r>
        <w:rPr>
          <w:rFonts w:hint="eastAsia" w:ascii="Times New Roman" w:hAnsi="Times New Roman" w:cs="Times New Roman"/>
          <w:color w:val="auto"/>
          <w:sz w:val="32"/>
          <w:szCs w:val="32"/>
        </w:rPr>
        <w:t>。</w:t>
      </w:r>
      <w:r>
        <w:rPr>
          <w:rFonts w:ascii="Times New Roman" w:hAnsi="Times New Roman" w:cs="Times New Roman"/>
          <w:color w:val="auto"/>
          <w:sz w:val="32"/>
          <w:szCs w:val="32"/>
        </w:rPr>
        <w:t>规划实施期间若有取得排污许可证的畜禽养殖场，</w:t>
      </w:r>
      <w:r>
        <w:rPr>
          <w:rFonts w:hint="eastAsia" w:ascii="Times New Roman" w:hAnsi="Times New Roman" w:cs="Times New Roman"/>
          <w:color w:val="auto"/>
          <w:sz w:val="32"/>
          <w:szCs w:val="32"/>
        </w:rPr>
        <w:t>需</w:t>
      </w:r>
      <w:r>
        <w:rPr>
          <w:rFonts w:ascii="Times New Roman" w:hAnsi="Times New Roman" w:cs="Times New Roman"/>
          <w:color w:val="auto"/>
          <w:sz w:val="32"/>
          <w:szCs w:val="32"/>
        </w:rPr>
        <w:t>按照排污许可证要求</w:t>
      </w:r>
      <w:r>
        <w:rPr>
          <w:rFonts w:hint="eastAsia" w:ascii="Times New Roman" w:hAnsi="Times New Roman" w:cs="Times New Roman"/>
          <w:color w:val="auto"/>
          <w:sz w:val="32"/>
          <w:szCs w:val="32"/>
        </w:rPr>
        <w:t>定期</w:t>
      </w:r>
      <w:r>
        <w:rPr>
          <w:rFonts w:ascii="Times New Roman" w:hAnsi="Times New Roman" w:cs="Times New Roman"/>
          <w:color w:val="auto"/>
          <w:sz w:val="32"/>
          <w:szCs w:val="32"/>
        </w:rPr>
        <w:t>开展自行监测</w:t>
      </w:r>
      <w:r>
        <w:rPr>
          <w:rFonts w:hint="eastAsia" w:ascii="Times New Roman" w:hAnsi="Times New Roman" w:cs="Times New Roman"/>
          <w:color w:val="auto"/>
          <w:sz w:val="32"/>
          <w:szCs w:val="32"/>
        </w:rPr>
        <w:t>，排污口纳入</w:t>
      </w:r>
      <w:r>
        <w:rPr>
          <w:rFonts w:hint="eastAsia"/>
          <w:color w:val="auto"/>
          <w:sz w:val="32"/>
          <w:szCs w:val="32"/>
        </w:rPr>
        <w:t>生态环境部门监督管理，</w:t>
      </w:r>
      <w:r>
        <w:rPr>
          <w:rFonts w:ascii="Times New Roman" w:hAnsi="Times New Roman" w:cs="Times New Roman"/>
          <w:color w:val="auto"/>
          <w:sz w:val="32"/>
          <w:szCs w:val="32"/>
        </w:rPr>
        <w:t>到2025年全区取得排污许可证的畜禽规模养殖场按照排污许可证要求自行监测覆盖率达到100%。</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3.3.6</w:t>
      </w:r>
      <w:r>
        <w:rPr>
          <w:color w:val="auto"/>
          <w:sz w:val="32"/>
          <w:szCs w:val="32"/>
        </w:rPr>
        <w:t>大型规模养殖场氨等臭气减排比例</w:t>
      </w:r>
    </w:p>
    <w:p>
      <w:pPr>
        <w:widowControl w:val="0"/>
        <w:spacing w:line="570" w:lineRule="exact"/>
        <w:ind w:firstLine="640"/>
        <w:jc w:val="both"/>
        <w:rPr>
          <w:rFonts w:ascii="Times New Roman" w:hAnsi="Times New Roman" w:cs="Times New Roman"/>
          <w:color w:val="auto"/>
        </w:rPr>
        <w:sectPr>
          <w:headerReference r:id="rId22" w:type="default"/>
          <w:footerReference r:id="rId23" w:type="default"/>
          <w:pgSz w:w="11906" w:h="16838"/>
          <w:pgMar w:top="1985" w:right="1531" w:bottom="1814" w:left="1531" w:header="720" w:footer="1304" w:gutter="0"/>
          <w:cols w:space="0" w:num="1"/>
          <w:docGrid w:linePitch="381" w:charSpace="0"/>
        </w:sectPr>
      </w:pPr>
      <w:r>
        <w:rPr>
          <w:rFonts w:hint="eastAsia" w:ascii="Times New Roman" w:hAnsi="Times New Roman" w:cs="Times New Roman"/>
          <w:color w:val="auto"/>
          <w:sz w:val="32"/>
          <w:szCs w:val="32"/>
        </w:rPr>
        <w:t>规划实施期间，拟通过组织养殖场户参加</w:t>
      </w:r>
      <w:r>
        <w:rPr>
          <w:rFonts w:hint="eastAsia"/>
          <w:bCs/>
          <w:color w:val="auto"/>
          <w:sz w:val="32"/>
          <w:szCs w:val="32"/>
        </w:rPr>
        <w:t>畜禽废弃物综合利用及除臭技术培训班，加强技术交流宣传，提升粪污综合利用消纳能力；另外，</w:t>
      </w:r>
      <w:r>
        <w:rPr>
          <w:rFonts w:hint="eastAsia" w:ascii="Times New Roman" w:hAnsi="Times New Roman" w:cs="Times New Roman"/>
          <w:color w:val="auto"/>
          <w:sz w:val="32"/>
          <w:szCs w:val="32"/>
        </w:rPr>
        <w:t>积极探索新型臭气控制模式，鼓励大型畜禽规模养殖场建设氨气治理设施等，到2025年相应完成市下达的大型规模养殖场氨等臭气减排比例任务指标。</w:t>
      </w:r>
    </w:p>
    <w:p>
      <w:pPr>
        <w:pStyle w:val="3"/>
        <w:keepNext w:val="0"/>
        <w:keepLines w:val="0"/>
        <w:widowControl w:val="0"/>
        <w:spacing w:after="0" w:line="570" w:lineRule="exact"/>
        <w:ind w:left="0" w:right="0" w:firstLine="643"/>
        <w:jc w:val="both"/>
        <w:rPr>
          <w:rFonts w:ascii="Times New Roman" w:hAnsi="Times New Roman" w:eastAsia="黑体" w:cs="Times New Roman"/>
          <w:b/>
          <w:color w:val="auto"/>
          <w:kern w:val="44"/>
          <w:sz w:val="32"/>
          <w:szCs w:val="32"/>
          <w:lang w:val="en-GB"/>
        </w:rPr>
      </w:pPr>
      <w:bookmarkStart w:id="113" w:name="_Toc31231"/>
      <w:r>
        <w:rPr>
          <w:rFonts w:hint="eastAsia" w:ascii="Times New Roman" w:hAnsi="Times New Roman" w:eastAsia="黑体" w:cs="Times New Roman"/>
          <w:b/>
          <w:color w:val="auto"/>
          <w:kern w:val="44"/>
          <w:sz w:val="32"/>
          <w:szCs w:val="32"/>
        </w:rPr>
        <w:t>4</w:t>
      </w:r>
      <w:r>
        <w:rPr>
          <w:rFonts w:ascii="Times New Roman" w:hAnsi="Times New Roman" w:eastAsia="黑体" w:cs="Times New Roman"/>
          <w:b/>
          <w:color w:val="auto"/>
          <w:kern w:val="44"/>
          <w:sz w:val="32"/>
          <w:szCs w:val="32"/>
          <w:lang w:val="en-GB"/>
        </w:rPr>
        <w:t>畜禽养殖污染防治主要任务</w:t>
      </w:r>
      <w:bookmarkEnd w:id="113"/>
    </w:p>
    <w:p>
      <w:pPr>
        <w:pStyle w:val="4"/>
        <w:spacing w:beforeLines="0" w:afterLines="0" w:line="570" w:lineRule="exact"/>
        <w:ind w:firstLine="641"/>
        <w:jc w:val="both"/>
        <w:rPr>
          <w:rFonts w:hint="eastAsia" w:ascii="楷体_GB2312" w:eastAsia="楷体_GB2312"/>
          <w:color w:val="auto"/>
          <w:sz w:val="32"/>
          <w:szCs w:val="32"/>
        </w:rPr>
      </w:pPr>
      <w:bookmarkStart w:id="114" w:name="_Toc6195"/>
      <w:bookmarkStart w:id="115" w:name="_Toc112078512"/>
      <w:bookmarkStart w:id="116" w:name="_Toc22468"/>
      <w:bookmarkStart w:id="117" w:name="_Toc117837760"/>
      <w:bookmarkStart w:id="118" w:name="_Toc117788586"/>
      <w:r>
        <w:rPr>
          <w:rFonts w:eastAsia="华文楷体"/>
          <w:color w:val="auto"/>
          <w:sz w:val="32"/>
          <w:szCs w:val="32"/>
        </w:rPr>
        <w:t>4.1</w:t>
      </w:r>
      <w:r>
        <w:rPr>
          <w:rFonts w:hint="eastAsia" w:ascii="楷体_GB2312" w:eastAsia="楷体_GB2312"/>
          <w:color w:val="auto"/>
          <w:sz w:val="32"/>
          <w:szCs w:val="32"/>
        </w:rPr>
        <w:t>坚持分区准入管理，优化畜禽养殖业结构布局</w:t>
      </w:r>
      <w:bookmarkEnd w:id="114"/>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4.</w:t>
      </w:r>
      <w:r>
        <w:rPr>
          <w:color w:val="auto"/>
          <w:sz w:val="32"/>
          <w:szCs w:val="32"/>
        </w:rPr>
        <w:t>1.</w:t>
      </w:r>
      <w:r>
        <w:rPr>
          <w:rFonts w:hint="eastAsia"/>
          <w:color w:val="auto"/>
          <w:sz w:val="32"/>
          <w:szCs w:val="32"/>
        </w:rPr>
        <w:t>1</w:t>
      </w:r>
      <w:bookmarkEnd w:id="115"/>
      <w:bookmarkEnd w:id="116"/>
      <w:bookmarkEnd w:id="117"/>
      <w:bookmarkEnd w:id="118"/>
      <w:r>
        <w:rPr>
          <w:color w:val="auto"/>
          <w:sz w:val="32"/>
          <w:szCs w:val="32"/>
        </w:rPr>
        <w:t>严格畜禽养殖禁养区</w:t>
      </w:r>
      <w:r>
        <w:rPr>
          <w:rFonts w:hint="eastAsia"/>
          <w:color w:val="auto"/>
          <w:sz w:val="32"/>
          <w:szCs w:val="32"/>
        </w:rPr>
        <w:t>、准入管理</w:t>
      </w:r>
    </w:p>
    <w:p>
      <w:pPr>
        <w:widowControl w:val="0"/>
        <w:spacing w:line="570" w:lineRule="exact"/>
        <w:ind w:firstLine="640"/>
        <w:jc w:val="both"/>
        <w:rPr>
          <w:color w:val="auto"/>
          <w:sz w:val="32"/>
          <w:szCs w:val="32"/>
        </w:rPr>
      </w:pPr>
      <w:bookmarkStart w:id="119" w:name="_Toc20048"/>
      <w:bookmarkStart w:id="120" w:name="_Toc99132373"/>
      <w:bookmarkStart w:id="121" w:name="_Toc80904914"/>
      <w:bookmarkStart w:id="122" w:name="_Toc117788587"/>
      <w:bookmarkStart w:id="123" w:name="_Toc112078513"/>
      <w:bookmarkStart w:id="124" w:name="_Toc117837761"/>
      <w:r>
        <w:rPr>
          <w:rFonts w:hint="eastAsia"/>
          <w:color w:val="auto"/>
          <w:sz w:val="32"/>
          <w:szCs w:val="32"/>
        </w:rPr>
        <w:t>严格落实畜禽养殖禁养区管理规定，</w:t>
      </w:r>
      <w:r>
        <w:rPr>
          <w:color w:val="auto"/>
          <w:sz w:val="32"/>
          <w:szCs w:val="32"/>
        </w:rPr>
        <w:t>根据《济南市长清区畜禽养殖禁养区优化调整方案》</w:t>
      </w:r>
      <w:r>
        <w:rPr>
          <w:rFonts w:hint="eastAsia"/>
          <w:color w:val="auto"/>
          <w:sz w:val="32"/>
          <w:szCs w:val="32"/>
        </w:rPr>
        <w:t>，</w:t>
      </w:r>
      <w:r>
        <w:rPr>
          <w:color w:val="auto"/>
          <w:sz w:val="32"/>
          <w:szCs w:val="32"/>
        </w:rPr>
        <w:t>以优化畜禽养殖产业布局、控制农业面源污染、保障生态环境安全为目的，坚持“预防为主、防治结合、统筹兼顾、合理布局、综合利用”的基本原则，将饮用水水源地保护区、自然保护区的核心区和</w:t>
      </w:r>
      <w:r>
        <w:rPr>
          <w:rFonts w:hint="eastAsia"/>
          <w:color w:val="auto"/>
          <w:sz w:val="32"/>
          <w:szCs w:val="32"/>
        </w:rPr>
        <w:t>一般控制</w:t>
      </w:r>
      <w:r>
        <w:rPr>
          <w:color w:val="auto"/>
          <w:sz w:val="32"/>
          <w:szCs w:val="32"/>
        </w:rPr>
        <w:t>区、城镇居民区、文化教育科学研究区等区域环境保护作为重点</w:t>
      </w:r>
      <w:r>
        <w:rPr>
          <w:rFonts w:hint="eastAsia"/>
          <w:color w:val="auto"/>
          <w:sz w:val="32"/>
          <w:szCs w:val="32"/>
        </w:rPr>
        <w:t>。</w:t>
      </w:r>
      <w:r>
        <w:rPr>
          <w:rFonts w:hint="eastAsia" w:ascii="仿宋_GB2312" w:hAnsi="Times New Roman" w:cs="FangSong_GB2312"/>
          <w:color w:val="auto"/>
          <w:sz w:val="32"/>
          <w:szCs w:val="32"/>
        </w:rPr>
        <w:t>对禁养区内关停需搬迁的规模养殖场，优先支持异地重建；对确需关闭的，给予合理过渡期，避免以清理代替治理；</w:t>
      </w:r>
      <w:r>
        <w:rPr>
          <w:color w:val="auto"/>
          <w:sz w:val="32"/>
          <w:szCs w:val="32"/>
        </w:rPr>
        <w:t>加强对</w:t>
      </w:r>
      <w:r>
        <w:rPr>
          <w:rFonts w:hint="eastAsia"/>
          <w:color w:val="auto"/>
          <w:sz w:val="32"/>
          <w:szCs w:val="32"/>
        </w:rPr>
        <w:t>优化调整后的</w:t>
      </w:r>
      <w:r>
        <w:rPr>
          <w:color w:val="auto"/>
          <w:sz w:val="32"/>
          <w:szCs w:val="32"/>
        </w:rPr>
        <w:t>禁养区内已关闭搬迁的畜禽养殖场户的巡查和监管，严防禁养区内畜禽养殖“反弹”和“复养”现象发生</w:t>
      </w:r>
      <w:r>
        <w:rPr>
          <w:rFonts w:hint="eastAsia"/>
          <w:color w:val="auto"/>
          <w:sz w:val="32"/>
          <w:szCs w:val="32"/>
        </w:rPr>
        <w:t>；根据区域畜牧业发展情况动态调整禁养区，</w:t>
      </w:r>
      <w:r>
        <w:rPr>
          <w:color w:val="auto"/>
          <w:sz w:val="32"/>
          <w:szCs w:val="32"/>
        </w:rPr>
        <w:t>促进畜禽养殖与环境保护协调发展。</w:t>
      </w:r>
    </w:p>
    <w:p>
      <w:pPr>
        <w:pStyle w:val="8"/>
        <w:widowControl w:val="0"/>
        <w:spacing w:line="570" w:lineRule="exact"/>
        <w:ind w:firstLine="640"/>
        <w:jc w:val="both"/>
        <w:rPr>
          <w:sz w:val="32"/>
          <w:szCs w:val="32"/>
        </w:rPr>
      </w:pPr>
      <w:r>
        <w:rPr>
          <w:rFonts w:hint="eastAsia"/>
          <w:color w:val="auto"/>
          <w:sz w:val="32"/>
          <w:szCs w:val="32"/>
        </w:rPr>
        <w:t>严格控制新建畜禽规模养殖场准入管理，按照</w:t>
      </w:r>
      <w:r>
        <w:rPr>
          <w:rFonts w:hint="eastAsia" w:ascii="Times New Roman" w:hAnsi="Times New Roman" w:cs="Times New Roman"/>
          <w:color w:val="auto"/>
          <w:sz w:val="32"/>
          <w:szCs w:val="32"/>
        </w:rPr>
        <w:t>禁养区优化方案、“三线一单”分区管控方案、</w:t>
      </w:r>
      <w:r>
        <w:rPr>
          <w:rFonts w:hint="eastAsia"/>
          <w:color w:val="auto"/>
          <w:sz w:val="32"/>
          <w:szCs w:val="32"/>
        </w:rPr>
        <w:t>土地利用总体规划、畜牧业发展规划、生态环境功能区划等要求，结合《山东省畜禽养殖管理办法》有关规定，依法依规开展环境影响评价，畜禽养殖污染防治设施要落实“三同时”制度，严格项目验收，确保综合利用和污染防治效果。对未依法进行环境影响评价的畜禽规模养殖场，依法处理。</w:t>
      </w:r>
      <w:r>
        <w:rPr>
          <w:rFonts w:hint="eastAsia"/>
          <w:sz w:val="32"/>
          <w:szCs w:val="32"/>
        </w:rPr>
        <w:t>新建、改扩建畜禽规模养殖场，实行</w:t>
      </w:r>
      <w:r>
        <w:rPr>
          <w:sz w:val="32"/>
          <w:szCs w:val="32"/>
        </w:rPr>
        <w:t>准入制，</w:t>
      </w:r>
      <w:r>
        <w:rPr>
          <w:rFonts w:hint="eastAsia"/>
          <w:sz w:val="32"/>
          <w:szCs w:val="32"/>
        </w:rPr>
        <w:t>配备粪污收集、贮存、处理、利用设施，并配套与养殖规模和处理工艺相适应的粪污消纳土地。</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4.1.2引导优化种养业</w:t>
      </w:r>
      <w:r>
        <w:rPr>
          <w:color w:val="auto"/>
          <w:sz w:val="32"/>
          <w:szCs w:val="32"/>
        </w:rPr>
        <w:t>科学</w:t>
      </w:r>
      <w:r>
        <w:rPr>
          <w:rFonts w:hint="eastAsia"/>
          <w:color w:val="auto"/>
          <w:sz w:val="32"/>
          <w:szCs w:val="32"/>
        </w:rPr>
        <w:t>布局</w:t>
      </w:r>
      <w:bookmarkEnd w:id="119"/>
      <w:bookmarkEnd w:id="120"/>
      <w:bookmarkEnd w:id="121"/>
      <w:bookmarkEnd w:id="122"/>
      <w:bookmarkEnd w:id="123"/>
      <w:bookmarkEnd w:id="124"/>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优化畜禽养殖空间布局，按照“以地定养、种养对接”原则，合理确定养殖业布局和规模，坚持以土地承载力优化养殖布局。进行种养平衡分析，合理确定养殖总量、品种和规模化水平、养殖选址和污染防治要求等，推动养殖产能向粮食主产区、果菜茶优势区等粪肥消纳量大的区域调整转移，促使种养业在布局上相协调，在规模上相匹配。</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通过测算畜禽粪污土地承载力、养殖量阈值，目前全区养殖空间较大，种养结合状况均为种养平衡发展区。坚持种养结合，将畜禽粪污无害化处理后就近还田利用，同时可以提高粪肥替代比例，发展有机农业。</w:t>
      </w:r>
    </w:p>
    <w:p>
      <w:pPr>
        <w:pStyle w:val="4"/>
        <w:spacing w:beforeLines="0" w:afterLines="0" w:line="570" w:lineRule="exact"/>
        <w:ind w:firstLine="641"/>
        <w:jc w:val="both"/>
        <w:rPr>
          <w:rFonts w:hint="eastAsia" w:ascii="楷体_GB2312" w:eastAsia="楷体_GB2312"/>
          <w:color w:val="auto"/>
          <w:sz w:val="32"/>
          <w:szCs w:val="32"/>
        </w:rPr>
      </w:pPr>
      <w:bookmarkStart w:id="125" w:name="_Toc24301"/>
      <w:bookmarkStart w:id="126" w:name="_Toc3877"/>
      <w:r>
        <w:rPr>
          <w:rFonts w:eastAsia="华文楷体"/>
          <w:color w:val="auto"/>
          <w:sz w:val="32"/>
          <w:szCs w:val="32"/>
        </w:rPr>
        <w:t>4.2</w:t>
      </w:r>
      <w:r>
        <w:rPr>
          <w:rFonts w:hint="eastAsia" w:ascii="楷体_GB2312" w:eastAsia="楷体_GB2312"/>
          <w:color w:val="auto"/>
          <w:sz w:val="32"/>
          <w:szCs w:val="32"/>
        </w:rPr>
        <w:t>坚持种养结合发展，提升粪污资源化利用水平</w:t>
      </w:r>
      <w:bookmarkEnd w:id="125"/>
      <w:bookmarkEnd w:id="126"/>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4.2.1提高畜禽养殖规模化率</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长清区畜禽养殖业总体规模化率</w:t>
      </w:r>
      <w:r>
        <w:rPr>
          <w:rFonts w:hint="eastAsia" w:ascii="Times New Roman" w:hAnsi="Times New Roman" w:cs="Times New Roman"/>
          <w:color w:val="auto"/>
          <w:sz w:val="32"/>
          <w:szCs w:val="32"/>
        </w:rPr>
        <w:t>有待进一步提高。可通过鼓励发展家庭农场等新型主体，抓好重点龙头企业、大型规模养殖场及新上项目落地，增加标准化、规模化养殖场数量；鼓励有条件的中小养殖场户扩大养殖规模，鼓励张夏街道、万德街道、归德街道畜禽养殖专业户</w:t>
      </w:r>
      <w:r>
        <w:rPr>
          <w:rFonts w:hint="eastAsia"/>
          <w:color w:val="auto"/>
          <w:sz w:val="32"/>
          <w:szCs w:val="32"/>
        </w:rPr>
        <w:t>较密集的区域因地制宜开展畜禽养殖提档升级工作，提升规模化养殖率</w:t>
      </w:r>
      <w:r>
        <w:rPr>
          <w:rFonts w:hint="eastAsia" w:ascii="Times New Roman" w:hAnsi="Times New Roman" w:cs="Times New Roman"/>
          <w:color w:val="auto"/>
          <w:sz w:val="32"/>
          <w:szCs w:val="32"/>
        </w:rPr>
        <w:t>；针对养殖畜种集中的区域，推广</w:t>
      </w:r>
      <w:r>
        <w:rPr>
          <w:rFonts w:ascii="Times New Roman" w:hAnsi="Times New Roman" w:cs="Times New Roman"/>
          <w:color w:val="auto"/>
          <w:sz w:val="32"/>
          <w:szCs w:val="32"/>
        </w:rPr>
        <w:t>养殖合作社</w:t>
      </w:r>
      <w:r>
        <w:rPr>
          <w:rFonts w:hint="eastAsia" w:ascii="Times New Roman" w:hAnsi="Times New Roman" w:cs="Times New Roman"/>
          <w:color w:val="auto"/>
          <w:sz w:val="32"/>
          <w:szCs w:val="32"/>
        </w:rPr>
        <w:t>、</w:t>
      </w:r>
      <w:r>
        <w:rPr>
          <w:rFonts w:ascii="Times New Roman" w:hAnsi="Times New Roman" w:cs="Times New Roman"/>
          <w:color w:val="auto"/>
          <w:sz w:val="32"/>
          <w:szCs w:val="32"/>
        </w:rPr>
        <w:t>家庭农场等规模养殖主体</w:t>
      </w:r>
      <w:r>
        <w:rPr>
          <w:rFonts w:hint="eastAsia" w:ascii="Times New Roman" w:hAnsi="Times New Roman" w:cs="Times New Roman"/>
          <w:color w:val="auto"/>
          <w:sz w:val="32"/>
          <w:szCs w:val="32"/>
        </w:rPr>
        <w:t>，</w:t>
      </w:r>
      <w:r>
        <w:rPr>
          <w:rFonts w:ascii="Times New Roman" w:hAnsi="Times New Roman" w:cs="Times New Roman"/>
          <w:color w:val="auto"/>
          <w:sz w:val="32"/>
          <w:szCs w:val="32"/>
        </w:rPr>
        <w:t>提升畜禽</w:t>
      </w:r>
      <w:r>
        <w:rPr>
          <w:rFonts w:hint="eastAsia" w:ascii="Times New Roman" w:hAnsi="Times New Roman" w:cs="Times New Roman"/>
          <w:color w:val="auto"/>
          <w:sz w:val="32"/>
          <w:szCs w:val="32"/>
        </w:rPr>
        <w:t>规模</w:t>
      </w:r>
      <w:r>
        <w:rPr>
          <w:rFonts w:ascii="Times New Roman" w:hAnsi="Times New Roman" w:cs="Times New Roman"/>
          <w:color w:val="auto"/>
          <w:sz w:val="32"/>
          <w:szCs w:val="32"/>
        </w:rPr>
        <w:t>养殖比重</w:t>
      </w:r>
      <w:r>
        <w:rPr>
          <w:rFonts w:hint="eastAsia" w:ascii="Times New Roman" w:hAnsi="Times New Roman" w:cs="Times New Roman"/>
          <w:color w:val="auto"/>
          <w:sz w:val="32"/>
          <w:szCs w:val="32"/>
        </w:rPr>
        <w:t>，提升规模化养殖比重。到2025年，全区畜禽规模养殖比重完成市下达的目标任务。</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4.2.2着力种养结合、农牧循环发展模式</w:t>
      </w:r>
    </w:p>
    <w:p>
      <w:pPr>
        <w:pStyle w:val="18"/>
        <w:widowControl w:val="0"/>
        <w:spacing w:line="570" w:lineRule="exact"/>
        <w:ind w:firstLine="640"/>
        <w:jc w:val="both"/>
        <w:rPr>
          <w:rFonts w:hAnsi="Times New Roman" w:cs="Times New Roman"/>
          <w:b w:val="0"/>
          <w:bCs w:val="0"/>
          <w:color w:val="auto"/>
          <w:sz w:val="32"/>
          <w:szCs w:val="32"/>
        </w:rPr>
      </w:pPr>
      <w:r>
        <w:rPr>
          <w:rFonts w:hAnsi="Times New Roman" w:cs="Times New Roman"/>
          <w:b w:val="0"/>
          <w:bCs w:val="0"/>
          <w:color w:val="auto"/>
          <w:sz w:val="32"/>
          <w:szCs w:val="32"/>
        </w:rPr>
        <w:t>养殖场户自有消纳土地</w:t>
      </w:r>
      <w:r>
        <w:rPr>
          <w:rFonts w:hint="eastAsia" w:hAnsi="Times New Roman" w:cs="Times New Roman"/>
          <w:b w:val="0"/>
          <w:bCs w:val="0"/>
          <w:color w:val="auto"/>
          <w:sz w:val="32"/>
          <w:szCs w:val="32"/>
        </w:rPr>
        <w:t>充足的，指导</w:t>
      </w:r>
      <w:r>
        <w:rPr>
          <w:rFonts w:hAnsi="Times New Roman" w:cs="Times New Roman"/>
          <w:b w:val="0"/>
          <w:bCs w:val="0"/>
          <w:color w:val="auto"/>
          <w:sz w:val="32"/>
          <w:szCs w:val="32"/>
        </w:rPr>
        <w:t>采用沼气发酵、贮存堆沤发酵等无害化处理方式</w:t>
      </w:r>
      <w:r>
        <w:rPr>
          <w:rFonts w:hint="eastAsia" w:hAnsi="Times New Roman" w:cs="Times New Roman"/>
          <w:b w:val="0"/>
          <w:bCs w:val="0"/>
          <w:color w:val="auto"/>
          <w:sz w:val="32"/>
          <w:szCs w:val="32"/>
        </w:rPr>
        <w:t>后还田</w:t>
      </w:r>
      <w:r>
        <w:rPr>
          <w:rFonts w:hAnsi="Times New Roman" w:cs="Times New Roman"/>
          <w:b w:val="0"/>
          <w:bCs w:val="0"/>
          <w:color w:val="auto"/>
          <w:sz w:val="32"/>
          <w:szCs w:val="32"/>
        </w:rPr>
        <w:t>，</w:t>
      </w:r>
      <w:r>
        <w:rPr>
          <w:rFonts w:hint="eastAsia" w:hAnsi="Times New Roman" w:cs="Times New Roman"/>
          <w:b w:val="0"/>
          <w:bCs w:val="0"/>
          <w:color w:val="auto"/>
          <w:sz w:val="32"/>
          <w:szCs w:val="32"/>
        </w:rPr>
        <w:t>优化粪污处理方式，降低处理成本，种养结合自行消纳粪污</w:t>
      </w:r>
      <w:r>
        <w:rPr>
          <w:rFonts w:hAnsi="Times New Roman" w:cs="Times New Roman"/>
          <w:b w:val="0"/>
          <w:bCs w:val="0"/>
          <w:color w:val="auto"/>
          <w:sz w:val="32"/>
          <w:szCs w:val="32"/>
        </w:rPr>
        <w:t>。自有消纳土地不足时，与周边种植户签订粪肥消纳协议或者委托第三方处置，确保粪肥施用面积能满足粪肥消纳需要。当养殖场户周边粪污消纳土地不足时，以</w:t>
      </w:r>
      <w:r>
        <w:rPr>
          <w:rFonts w:hint="eastAsia" w:hAnsi="Times New Roman" w:cs="Times New Roman"/>
          <w:b w:val="0"/>
          <w:bCs w:val="0"/>
          <w:color w:val="auto"/>
          <w:sz w:val="32"/>
          <w:szCs w:val="32"/>
        </w:rPr>
        <w:t>镇街</w:t>
      </w:r>
      <w:r>
        <w:rPr>
          <w:rFonts w:hAnsi="Times New Roman" w:cs="Times New Roman"/>
          <w:b w:val="0"/>
          <w:bCs w:val="0"/>
          <w:color w:val="auto"/>
          <w:sz w:val="32"/>
          <w:szCs w:val="32"/>
        </w:rPr>
        <w:t>基本单元，规模养殖场可将固体粪便委托第三方处理，通过与有机肥厂、专业沼气工程企业、社会化粪肥服务机构、果菜茶种植基地、种植企业或合作社等第三方签订用肥协议，确定种养合作关系。</w:t>
      </w:r>
      <w:r>
        <w:rPr>
          <w:rFonts w:hint="eastAsia" w:ascii="仿宋"/>
          <w:b w:val="0"/>
          <w:bCs w:val="0"/>
          <w:color w:val="auto"/>
          <w:sz w:val="32"/>
          <w:szCs w:val="32"/>
        </w:rPr>
        <w:t>根据不同地区、不同畜种、不同规模，推广全量收集还田、水肥（有机肥）一体化、能源化、基质化、清洁回用等技术模式，促进畜禽粪污就近就地还田利用，提升畜禽粪污资源化利用水平。</w:t>
      </w:r>
    </w:p>
    <w:p>
      <w:pPr>
        <w:pStyle w:val="9"/>
        <w:widowControl w:val="0"/>
        <w:spacing w:after="0" w:line="570" w:lineRule="exact"/>
        <w:ind w:firstLine="640"/>
        <w:jc w:val="both"/>
        <w:rPr>
          <w:color w:val="auto"/>
          <w:sz w:val="32"/>
          <w:szCs w:val="32"/>
        </w:rPr>
      </w:pPr>
      <w:r>
        <w:rPr>
          <w:rFonts w:hint="eastAsia"/>
          <w:color w:val="auto"/>
          <w:sz w:val="32"/>
          <w:szCs w:val="32"/>
        </w:rPr>
        <w:t>鼓励大型规模养殖场自行处理粪污，生产销售商品有机肥（如济南安普瑞禽业科技有限公司、济南宏祥畜牧养殖有限公司）或流转土地发展种植（如山东鼎泰牧业有限公司、山东乐生园种猪有限公司等），实现就地就近消纳。鼓励中小养殖场户与蔬菜、林果、种粮大户等种植单位建立合作关系，充分消纳畜禽粪污，变废为宝，生产绿色、无污染的有机农产品，形成畜-农、林果、蔬菜的良性农牧循环模式。</w:t>
      </w:r>
    </w:p>
    <w:p>
      <w:pPr>
        <w:pStyle w:val="4"/>
        <w:spacing w:beforeLines="0" w:afterLines="0" w:line="570" w:lineRule="exact"/>
        <w:ind w:firstLine="641"/>
        <w:jc w:val="both"/>
        <w:rPr>
          <w:rFonts w:hint="eastAsia" w:ascii="楷体_GB2312" w:eastAsia="楷体_GB2312"/>
          <w:color w:val="auto"/>
          <w:sz w:val="32"/>
          <w:szCs w:val="32"/>
        </w:rPr>
      </w:pPr>
      <w:bookmarkStart w:id="127" w:name="_Toc25773"/>
      <w:r>
        <w:rPr>
          <w:rFonts w:eastAsia="华文楷体"/>
          <w:color w:val="auto"/>
          <w:sz w:val="32"/>
          <w:szCs w:val="32"/>
        </w:rPr>
        <w:t>4.3</w:t>
      </w:r>
      <w:r>
        <w:rPr>
          <w:rFonts w:hint="eastAsia" w:ascii="楷体_GB2312" w:eastAsia="楷体_GB2312"/>
          <w:color w:val="auto"/>
          <w:sz w:val="32"/>
          <w:szCs w:val="32"/>
        </w:rPr>
        <w:t>坚持粪污综合治理，提升粪污处理和利用设施</w:t>
      </w:r>
      <w:bookmarkEnd w:id="127"/>
    </w:p>
    <w:p>
      <w:pPr>
        <w:pStyle w:val="5"/>
        <w:keepNext w:val="0"/>
        <w:keepLines w:val="0"/>
        <w:widowControl w:val="0"/>
        <w:spacing w:beforeLines="0" w:afterLines="0" w:line="570" w:lineRule="exact"/>
        <w:ind w:firstLine="643" w:firstLineChars="200"/>
        <w:jc w:val="both"/>
        <w:rPr>
          <w:color w:val="auto"/>
          <w:sz w:val="32"/>
          <w:szCs w:val="32"/>
        </w:rPr>
      </w:pPr>
      <w:bookmarkStart w:id="128" w:name="_Toc25760"/>
      <w:bookmarkStart w:id="129" w:name="_Toc117837766"/>
      <w:bookmarkStart w:id="130" w:name="_Toc112078518"/>
      <w:bookmarkStart w:id="131" w:name="_Toc117788592"/>
      <w:r>
        <w:rPr>
          <w:rFonts w:hint="eastAsia"/>
          <w:color w:val="auto"/>
          <w:sz w:val="32"/>
          <w:szCs w:val="32"/>
        </w:rPr>
        <w:t>4.3.1完善粪污处理和利用设施</w:t>
      </w:r>
    </w:p>
    <w:p>
      <w:pPr>
        <w:widowControl w:val="0"/>
        <w:spacing w:line="570" w:lineRule="exact"/>
        <w:ind w:firstLine="643"/>
        <w:jc w:val="both"/>
        <w:rPr>
          <w:rFonts w:ascii="Times New Roman" w:hAnsi="Times New Roman" w:cs="Times New Roman"/>
          <w:color w:val="auto"/>
          <w:sz w:val="32"/>
          <w:szCs w:val="32"/>
        </w:rPr>
      </w:pPr>
      <w:r>
        <w:rPr>
          <w:rFonts w:hint="eastAsia" w:ascii="Times New Roman" w:hAnsi="Times New Roman" w:cs="Times New Roman"/>
          <w:b/>
          <w:bCs/>
          <w:color w:val="auto"/>
          <w:sz w:val="32"/>
          <w:szCs w:val="32"/>
        </w:rPr>
        <w:t>源头减量设施：</w:t>
      </w:r>
      <w:r>
        <w:rPr>
          <w:rFonts w:hint="eastAsia"/>
          <w:color w:val="auto"/>
          <w:sz w:val="32"/>
          <w:szCs w:val="32"/>
        </w:rPr>
        <w:t>通过合理的配方、限量添加剂的使用等技术在保障生产效益的基础上减少粪污排池量或处理成本。例如：</w:t>
      </w:r>
      <w:r>
        <w:rPr>
          <w:rFonts w:hint="eastAsia" w:ascii="Times New Roman" w:hAnsi="Times New Roman" w:cs="Times New Roman"/>
          <w:color w:val="auto"/>
          <w:sz w:val="32"/>
          <w:szCs w:val="32"/>
        </w:rPr>
        <w:t>（1）</w:t>
      </w:r>
      <w:r>
        <w:rPr>
          <w:rFonts w:hint="eastAsia"/>
          <w:color w:val="auto"/>
          <w:sz w:val="32"/>
          <w:szCs w:val="32"/>
        </w:rPr>
        <w:t>通过推广秸秆青贮合理日粮搭配、使用营养添加剂不仅有助于节约资源投入，也有利于减少畜禽养殖的甲烷、氨气、氧化亚氮等温室气体排放量；</w:t>
      </w:r>
      <w:r>
        <w:rPr>
          <w:rFonts w:hint="eastAsia" w:ascii="Times New Roman" w:hAnsi="Times New Roman" w:cs="Times New Roman"/>
          <w:color w:val="auto"/>
          <w:sz w:val="32"/>
          <w:szCs w:val="32"/>
        </w:rPr>
        <w:t>（2）</w:t>
      </w:r>
      <w:r>
        <w:rPr>
          <w:rFonts w:hint="eastAsia"/>
          <w:color w:val="auto"/>
          <w:sz w:val="32"/>
          <w:szCs w:val="32"/>
        </w:rPr>
        <w:t>通过优化饲料配方，使用环保型或微生物型添加剂不仅可以减少生猪排泄量，还有助于降低粪污中重金属及抗生素残留；</w:t>
      </w:r>
      <w:r>
        <w:rPr>
          <w:rFonts w:hint="eastAsia" w:ascii="Times New Roman" w:hAnsi="Times New Roman" w:cs="Times New Roman"/>
          <w:color w:val="auto"/>
          <w:sz w:val="32"/>
          <w:szCs w:val="32"/>
        </w:rPr>
        <w:t>（3）</w:t>
      </w:r>
      <w:r>
        <w:rPr>
          <w:rFonts w:hint="eastAsia"/>
          <w:color w:val="auto"/>
          <w:sz w:val="32"/>
          <w:szCs w:val="32"/>
        </w:rPr>
        <w:t>通过严格计算猪只营养消化利用率能准确估计出猪只需要的平衡日粮，以此来提高饲料利用率、减少粪尿的排放量；</w:t>
      </w:r>
      <w:r>
        <w:rPr>
          <w:rFonts w:ascii="Times New Roman" w:hAnsi="Times New Roman" w:cs="Times New Roman"/>
          <w:color w:val="auto"/>
          <w:sz w:val="32"/>
          <w:szCs w:val="32"/>
        </w:rPr>
        <w:t>（</w:t>
      </w:r>
      <w:r>
        <w:rPr>
          <w:rFonts w:hint="eastAsia" w:ascii="Times New Roman" w:hAnsi="Times New Roman" w:cs="Times New Roman"/>
          <w:color w:val="auto"/>
          <w:sz w:val="32"/>
          <w:szCs w:val="32"/>
        </w:rPr>
        <w:t>4</w:t>
      </w:r>
      <w:r>
        <w:rPr>
          <w:rFonts w:ascii="Times New Roman" w:hAnsi="Times New Roman" w:cs="Times New Roman"/>
          <w:color w:val="auto"/>
          <w:sz w:val="32"/>
          <w:szCs w:val="32"/>
        </w:rPr>
        <w:t>）支持现有养殖场户圈舍及粪污贮存设施进行雨污分流</w:t>
      </w:r>
      <w:r>
        <w:rPr>
          <w:rFonts w:hint="eastAsia"/>
          <w:color w:val="auto"/>
          <w:sz w:val="32"/>
          <w:szCs w:val="32"/>
        </w:rPr>
        <w:t>、固液分离等</w:t>
      </w:r>
      <w:r>
        <w:rPr>
          <w:rFonts w:ascii="Times New Roman" w:hAnsi="Times New Roman" w:cs="Times New Roman"/>
          <w:color w:val="auto"/>
          <w:sz w:val="32"/>
          <w:szCs w:val="32"/>
        </w:rPr>
        <w:t>改造，新建养殖场执行雨污分离</w:t>
      </w:r>
      <w:r>
        <w:rPr>
          <w:rFonts w:hint="eastAsia" w:ascii="Times New Roman" w:hAnsi="Times New Roman" w:cs="Times New Roman"/>
          <w:color w:val="auto"/>
          <w:sz w:val="32"/>
          <w:szCs w:val="32"/>
        </w:rPr>
        <w:t>及“</w:t>
      </w:r>
      <w:r>
        <w:rPr>
          <w:rFonts w:ascii="Times New Roman" w:hAnsi="Times New Roman" w:cs="Times New Roman"/>
          <w:color w:val="auto"/>
          <w:sz w:val="32"/>
          <w:szCs w:val="32"/>
        </w:rPr>
        <w:t>防雨、防渗、防漏</w:t>
      </w:r>
      <w:r>
        <w:rPr>
          <w:rFonts w:hint="eastAsia" w:ascii="Times New Roman" w:hAnsi="Times New Roman" w:cs="Times New Roman"/>
          <w:color w:val="auto"/>
          <w:sz w:val="32"/>
          <w:szCs w:val="32"/>
        </w:rPr>
        <w:t>”措施</w:t>
      </w:r>
      <w:r>
        <w:rPr>
          <w:rFonts w:ascii="Times New Roman" w:hAnsi="Times New Roman" w:cs="Times New Roman"/>
          <w:color w:val="auto"/>
          <w:sz w:val="32"/>
          <w:szCs w:val="32"/>
        </w:rPr>
        <w:t>；</w:t>
      </w:r>
      <w:r>
        <w:rPr>
          <w:rFonts w:hint="eastAsia" w:ascii="Times New Roman" w:hAnsi="Times New Roman" w:cs="Times New Roman"/>
          <w:color w:val="auto"/>
          <w:sz w:val="32"/>
          <w:szCs w:val="32"/>
        </w:rPr>
        <w:t>有条件的规模养殖场可</w:t>
      </w:r>
      <w:r>
        <w:rPr>
          <w:rFonts w:ascii="Times New Roman" w:hAnsi="Times New Roman" w:cs="Times New Roman"/>
          <w:color w:val="auto"/>
          <w:sz w:val="32"/>
          <w:szCs w:val="32"/>
        </w:rPr>
        <w:t>改善畜舍结构和通风供暖工艺，养殖栏舍配备通风排气装置、气体收集处理后排放等减控设施；支持养殖场户更新设施设备和标准化改造栏舍，</w:t>
      </w:r>
      <w:r>
        <w:rPr>
          <w:rFonts w:hint="eastAsia" w:ascii="Times New Roman" w:hAnsi="Times New Roman" w:cs="Times New Roman"/>
          <w:color w:val="auto"/>
          <w:sz w:val="32"/>
          <w:szCs w:val="32"/>
        </w:rPr>
        <w:t>配备自动喂料、饮水设施，采用干清粪、机械清粪工艺，淘汰全程水清粪方式</w:t>
      </w:r>
      <w:r>
        <w:rPr>
          <w:rFonts w:ascii="Times New Roman" w:hAnsi="Times New Roman" w:cs="Times New Roman"/>
          <w:color w:val="auto"/>
          <w:sz w:val="32"/>
          <w:szCs w:val="32"/>
        </w:rPr>
        <w:t>。</w:t>
      </w:r>
    </w:p>
    <w:p>
      <w:pPr>
        <w:widowControl w:val="0"/>
        <w:spacing w:line="570" w:lineRule="exact"/>
        <w:ind w:firstLine="643"/>
        <w:jc w:val="both"/>
        <w:rPr>
          <w:rFonts w:ascii="Times New Roman" w:hAnsi="Times New Roman" w:cs="Times New Roman"/>
          <w:color w:val="auto"/>
          <w:sz w:val="32"/>
          <w:szCs w:val="32"/>
        </w:rPr>
      </w:pPr>
      <w:r>
        <w:rPr>
          <w:rFonts w:hint="eastAsia" w:ascii="Times New Roman" w:hAnsi="Times New Roman" w:cs="Times New Roman"/>
          <w:b/>
          <w:bCs/>
          <w:color w:val="auto"/>
          <w:sz w:val="32"/>
          <w:szCs w:val="32"/>
        </w:rPr>
        <w:t>粪污处理设施：</w:t>
      </w:r>
      <w:r>
        <w:rPr>
          <w:rFonts w:ascii="Times New Roman" w:hAnsi="Times New Roman" w:cs="Times New Roman"/>
          <w:color w:val="auto"/>
          <w:sz w:val="32"/>
          <w:szCs w:val="32"/>
        </w:rPr>
        <w:t>按照《</w:t>
      </w:r>
      <w:r>
        <w:rPr>
          <w:rFonts w:hint="eastAsia" w:ascii="Times New Roman" w:hAnsi="Times New Roman" w:cs="Times New Roman"/>
          <w:color w:val="auto"/>
          <w:sz w:val="32"/>
          <w:szCs w:val="32"/>
        </w:rPr>
        <w:t>山东省畜禽养殖管理办法</w:t>
      </w:r>
      <w:r>
        <w:rPr>
          <w:rFonts w:ascii="Times New Roman" w:hAnsi="Times New Roman" w:cs="Times New Roman"/>
          <w:color w:val="auto"/>
          <w:sz w:val="32"/>
          <w:szCs w:val="32"/>
        </w:rPr>
        <w:t>》，对</w:t>
      </w:r>
      <w:r>
        <w:rPr>
          <w:rFonts w:hint="eastAsia" w:ascii="Times New Roman" w:hAnsi="Times New Roman" w:cs="Times New Roman"/>
          <w:color w:val="auto"/>
          <w:sz w:val="32"/>
          <w:szCs w:val="32"/>
        </w:rPr>
        <w:t>新建</w:t>
      </w:r>
      <w:r>
        <w:rPr>
          <w:rFonts w:ascii="Times New Roman" w:hAnsi="Times New Roman" w:cs="Times New Roman"/>
          <w:color w:val="auto"/>
          <w:sz w:val="32"/>
          <w:szCs w:val="32"/>
        </w:rPr>
        <w:t>畜禽养殖场的污染防治设施的建设、验收和运行实行“三同时”制度。（1）采用制造有机肥方式的，有机肥加工设施建设按具备相应规模工程设计资质单位的设计方案执行，产品应达到《有机肥料》（NY525）、《有机-无机复混肥料》（GB18877）等要求后作为商品有机肥出售。（2）采用沼气发酵的，建设厌氧消化反应器、沼气收集和处置系统、沼液沼渣分离和贮存系统，实现资源化产品的安全处置、妥善贮存和综合利用，做好冬季保温。（3）采用堆肥发酵工艺的，应建设储存、发酵等场地</w:t>
      </w:r>
      <w:r>
        <w:rPr>
          <w:rFonts w:hint="eastAsia" w:ascii="Times New Roman" w:hAnsi="Times New Roman" w:cs="Times New Roman"/>
          <w:color w:val="auto"/>
          <w:sz w:val="32"/>
          <w:szCs w:val="32"/>
        </w:rPr>
        <w:t>，粪污密闭储存</w:t>
      </w:r>
      <w:r>
        <w:rPr>
          <w:rFonts w:ascii="Times New Roman" w:hAnsi="Times New Roman" w:cs="Times New Roman"/>
          <w:color w:val="auto"/>
          <w:sz w:val="32"/>
          <w:szCs w:val="32"/>
        </w:rPr>
        <w:t>，配备翻抛设备。</w:t>
      </w:r>
      <w:r>
        <w:rPr>
          <w:rFonts w:hint="eastAsia" w:ascii="Times New Roman" w:hAnsi="Times New Roman" w:cs="Times New Roman"/>
          <w:color w:val="auto"/>
          <w:sz w:val="32"/>
          <w:szCs w:val="32"/>
        </w:rPr>
        <w:t>（4）</w:t>
      </w:r>
      <w:r>
        <w:rPr>
          <w:rFonts w:hint="eastAsia"/>
          <w:color w:val="auto"/>
          <w:sz w:val="32"/>
          <w:szCs w:val="32"/>
        </w:rPr>
        <w:t>推广发酵床、微生物处理、臭气控制等技术模式，加速粪污无害化处理过程，减少氮磷和臭气排放。</w:t>
      </w:r>
      <w:r>
        <w:rPr>
          <w:rFonts w:ascii="Times New Roman" w:hAnsi="Times New Roman" w:cs="Times New Roman"/>
          <w:color w:val="auto"/>
          <w:sz w:val="32"/>
          <w:szCs w:val="32"/>
        </w:rPr>
        <w:t>（</w:t>
      </w:r>
      <w:r>
        <w:rPr>
          <w:rFonts w:hint="eastAsia" w:ascii="Times New Roman" w:hAnsi="Times New Roman" w:cs="Times New Roman"/>
          <w:color w:val="auto"/>
          <w:sz w:val="32"/>
          <w:szCs w:val="32"/>
        </w:rPr>
        <w:t>5</w:t>
      </w:r>
      <w:r>
        <w:rPr>
          <w:rFonts w:ascii="Times New Roman" w:hAnsi="Times New Roman" w:cs="Times New Roman"/>
          <w:color w:val="auto"/>
          <w:sz w:val="32"/>
          <w:szCs w:val="32"/>
        </w:rPr>
        <w:t>）委托第三方处理的，应具有合同。</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按照“谁污染、谁治理”原则，</w:t>
      </w:r>
      <w:r>
        <w:rPr>
          <w:rFonts w:hint="eastAsia" w:ascii="Times New Roman" w:hAnsi="Times New Roman" w:cs="Times New Roman"/>
          <w:color w:val="auto"/>
          <w:sz w:val="32"/>
          <w:szCs w:val="32"/>
        </w:rPr>
        <w:t>针对专业户要</w:t>
      </w:r>
      <w:r>
        <w:rPr>
          <w:rFonts w:ascii="Times New Roman" w:hAnsi="Times New Roman" w:cs="Times New Roman"/>
          <w:color w:val="auto"/>
          <w:sz w:val="32"/>
          <w:szCs w:val="32"/>
        </w:rPr>
        <w:t>采用贮存池收集畜禽粪污，发酵还田利用的，必须配套建设贮粪场和贮存池，不得对周边环境造成污染。鼓励各村通过村规民约规范养殖行为，减轻对周边环境和村民生活造成影响，避免对水源等环境敏感区造成污染。</w:t>
      </w:r>
      <w:r>
        <w:rPr>
          <w:rFonts w:hint="eastAsia" w:ascii="Times New Roman" w:hAnsi="Times New Roman" w:cs="Times New Roman"/>
          <w:color w:val="auto"/>
          <w:sz w:val="32"/>
          <w:szCs w:val="32"/>
        </w:rPr>
        <w:t>将规模以下畜禽养殖污染防治和资源化利用纳入当地农村人居环境整治工作协同推进。</w:t>
      </w:r>
    </w:p>
    <w:bookmarkEnd w:id="128"/>
    <w:bookmarkEnd w:id="129"/>
    <w:bookmarkEnd w:id="130"/>
    <w:bookmarkEnd w:id="131"/>
    <w:p>
      <w:pPr>
        <w:widowControl w:val="0"/>
        <w:spacing w:line="570" w:lineRule="exact"/>
        <w:ind w:firstLine="643"/>
        <w:jc w:val="both"/>
        <w:rPr>
          <w:rFonts w:ascii="Times New Roman" w:hAnsi="Times New Roman" w:cs="Times New Roman"/>
          <w:color w:val="auto"/>
          <w:sz w:val="32"/>
          <w:szCs w:val="32"/>
        </w:rPr>
      </w:pPr>
      <w:r>
        <w:rPr>
          <w:rFonts w:hint="eastAsia" w:ascii="Times New Roman" w:hAnsi="Times New Roman" w:cs="Times New Roman"/>
          <w:b/>
          <w:bCs/>
          <w:color w:val="auto"/>
          <w:sz w:val="32"/>
          <w:szCs w:val="32"/>
        </w:rPr>
        <w:t>田间配套设施：</w:t>
      </w:r>
      <w:r>
        <w:rPr>
          <w:rFonts w:hint="eastAsia" w:ascii="Times New Roman" w:hAnsi="Times New Roman" w:cs="Times New Roman"/>
          <w:color w:val="auto"/>
          <w:sz w:val="32"/>
          <w:szCs w:val="32"/>
        </w:rPr>
        <w:t>鼓励引导</w:t>
      </w:r>
      <w:r>
        <w:rPr>
          <w:rFonts w:ascii="Times New Roman" w:hAnsi="Times New Roman" w:cs="Times New Roman"/>
          <w:color w:val="auto"/>
          <w:sz w:val="32"/>
          <w:szCs w:val="32"/>
        </w:rPr>
        <w:t>加强田间配套</w:t>
      </w:r>
      <w:r>
        <w:rPr>
          <w:rFonts w:hint="eastAsia" w:ascii="Times New Roman" w:hAnsi="Times New Roman" w:cs="Times New Roman"/>
          <w:color w:val="auto"/>
          <w:sz w:val="32"/>
          <w:szCs w:val="32"/>
        </w:rPr>
        <w:t>设施建设</w:t>
      </w:r>
      <w:r>
        <w:rPr>
          <w:rFonts w:ascii="Times New Roman" w:hAnsi="Times New Roman" w:cs="Times New Roman"/>
          <w:color w:val="auto"/>
          <w:sz w:val="32"/>
          <w:szCs w:val="32"/>
        </w:rPr>
        <w:t>，在土地承载力富余量较大的</w:t>
      </w:r>
      <w:r>
        <w:rPr>
          <w:rFonts w:hint="eastAsia" w:ascii="Times New Roman" w:hAnsi="Times New Roman" w:cs="Times New Roman"/>
          <w:color w:val="auto"/>
          <w:sz w:val="32"/>
          <w:szCs w:val="32"/>
        </w:rPr>
        <w:t>镇街</w:t>
      </w:r>
      <w:r>
        <w:rPr>
          <w:rFonts w:ascii="Times New Roman" w:hAnsi="Times New Roman" w:cs="Times New Roman"/>
          <w:color w:val="auto"/>
          <w:sz w:val="32"/>
          <w:szCs w:val="32"/>
        </w:rPr>
        <w:t>，选择部分养殖村作为试点，建设田间粪污暂存设施，根据试点村粪污产量、经济情况等，合理选择粪肥还田输送管道、配置运输罐车、固态肥抛撒机、液态粪肥撒施机、沼液沼渣抽排机、远距离施肥泵粪肥机械化还田作业设施。施肥过程应采用深施、埋施等减排措施。支持农业生产经营主体在田间地头建沼液储液池（罐）和喷灌管网，鼓励沼液和经无害化处理的畜禽养殖废水作为肥料科学还田使用。</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4.3.2坚持规模养殖场分级分类管理</w:t>
      </w:r>
    </w:p>
    <w:p>
      <w:pPr>
        <w:widowControl w:val="0"/>
        <w:spacing w:line="570" w:lineRule="exact"/>
        <w:ind w:firstLine="640"/>
        <w:jc w:val="both"/>
        <w:rPr>
          <w:color w:val="auto"/>
          <w:sz w:val="32"/>
          <w:szCs w:val="32"/>
        </w:rPr>
      </w:pPr>
      <w:r>
        <w:rPr>
          <w:rFonts w:hint="eastAsia" w:ascii="Times New Roman" w:hAnsi="Times New Roman" w:cs="Times New Roman"/>
          <w:color w:val="auto"/>
          <w:sz w:val="32"/>
          <w:szCs w:val="32"/>
        </w:rPr>
        <w:t>长清区畜禽</w:t>
      </w:r>
      <w:r>
        <w:rPr>
          <w:rFonts w:ascii="Times New Roman" w:hAnsi="Times New Roman" w:cs="Times New Roman"/>
          <w:color w:val="auto"/>
          <w:sz w:val="32"/>
          <w:szCs w:val="32"/>
        </w:rPr>
        <w:t>规模场结合生产实际，按照粪污处理设施配建及运行情况，实施畜禽规模养殖场分</w:t>
      </w:r>
      <w:r>
        <w:rPr>
          <w:rFonts w:hint="eastAsia" w:ascii="Times New Roman" w:hAnsi="Times New Roman" w:cs="Times New Roman"/>
          <w:color w:val="auto"/>
          <w:sz w:val="32"/>
          <w:szCs w:val="32"/>
        </w:rPr>
        <w:t>级</w:t>
      </w:r>
      <w:r>
        <w:rPr>
          <w:rFonts w:ascii="Times New Roman" w:hAnsi="Times New Roman" w:cs="Times New Roman"/>
          <w:color w:val="auto"/>
          <w:sz w:val="32"/>
          <w:szCs w:val="32"/>
        </w:rPr>
        <w:t>管理分为A、B、C、D四级</w:t>
      </w:r>
      <w:r>
        <w:rPr>
          <w:rFonts w:hint="eastAsia" w:ascii="Times New Roman" w:hAnsi="Times New Roman" w:cs="Times New Roman"/>
          <w:color w:val="auto"/>
          <w:sz w:val="32"/>
          <w:szCs w:val="32"/>
        </w:rPr>
        <w:t>，</w:t>
      </w:r>
      <w:r>
        <w:rPr>
          <w:rFonts w:hint="eastAsia"/>
          <w:color w:val="auto"/>
          <w:sz w:val="32"/>
          <w:szCs w:val="32"/>
        </w:rPr>
        <w:t>采取动态管理，对不再符合条件的A级、B级规模场降级处理，整改完成且符合要求的C级、D级规模场提升等级。畜牧兽医部门要统筹基层畜牧兽医人员力量，依托日常指导服务、防疫检疫等畜牧兽医工作，结合分级标准，对辖区内规模场逐一核对分级，建立台账清单，做到底数清、分级准、情况明。对于C级、D级规模场，要建立常态化问题清单，实行销号管理，发现一个、整改一个，完成一个、销号一个。</w:t>
      </w:r>
    </w:p>
    <w:p>
      <w:pPr>
        <w:pStyle w:val="4"/>
        <w:spacing w:beforeLines="0" w:afterLines="0" w:line="570" w:lineRule="exact"/>
        <w:ind w:firstLine="641"/>
        <w:jc w:val="both"/>
        <w:rPr>
          <w:rFonts w:eastAsia="华文楷体"/>
          <w:color w:val="auto"/>
          <w:sz w:val="32"/>
          <w:szCs w:val="32"/>
        </w:rPr>
      </w:pPr>
      <w:bookmarkStart w:id="132" w:name="_Toc19416"/>
      <w:r>
        <w:rPr>
          <w:rFonts w:eastAsia="华文楷体"/>
          <w:color w:val="auto"/>
          <w:sz w:val="32"/>
          <w:szCs w:val="32"/>
        </w:rPr>
        <w:t>4.4</w:t>
      </w:r>
      <w:r>
        <w:rPr>
          <w:rFonts w:hint="eastAsia" w:ascii="楷体_GB2312" w:eastAsia="楷体_GB2312"/>
          <w:color w:val="auto"/>
          <w:sz w:val="32"/>
          <w:szCs w:val="32"/>
        </w:rPr>
        <w:t>完善台账管理制度，逐步推进</w:t>
      </w:r>
      <w:bookmarkStart w:id="133" w:name="_Toc117788598"/>
      <w:bookmarkStart w:id="134" w:name="_Toc117837772"/>
      <w:bookmarkStart w:id="135" w:name="_Toc112078523"/>
      <w:bookmarkStart w:id="136" w:name="_Toc23191"/>
      <w:r>
        <w:rPr>
          <w:rFonts w:hint="eastAsia" w:ascii="楷体_GB2312" w:eastAsia="楷体_GB2312"/>
          <w:color w:val="auto"/>
          <w:sz w:val="32"/>
          <w:szCs w:val="32"/>
        </w:rPr>
        <w:t>粪污防治动态管理</w:t>
      </w:r>
      <w:bookmarkEnd w:id="132"/>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4.4.1</w:t>
      </w:r>
      <w:bookmarkEnd w:id="133"/>
      <w:bookmarkEnd w:id="134"/>
      <w:bookmarkEnd w:id="135"/>
      <w:bookmarkEnd w:id="136"/>
      <w:r>
        <w:rPr>
          <w:rFonts w:hint="eastAsia"/>
          <w:color w:val="auto"/>
          <w:sz w:val="32"/>
          <w:szCs w:val="32"/>
        </w:rPr>
        <w:t>完善台账管理制度</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实施农业农村部办公厅、生态环境部办公厅联合印发《关于进一步明确畜禽粪污还田利用要求强化养殖污染监管的通知》，要求应提前确定粪肥还田利用计划，同时需建立粪污处理和粪肥利用台账，及时记录粪污日处理量和粪肥施用时间、施用量与施肥方式等，确保台账数据真实准确。加强相关法律法规以及粪污资源化利用有关政策要求的宣传，要让养殖场户知悉粪污治理的主体责任，树立粪肥台账记录的自觉性，确保填报信息的准确性、及时性。农业农村部门制定推进计划，以规模养殖场为重点，大力推进粪肥利用台账制度，鼓励有条件的畜禽养殖户填报，逐步完善粪肥利用</w:t>
      </w:r>
      <w:r>
        <w:rPr>
          <w:rFonts w:hint="eastAsia" w:ascii="Times New Roman" w:hAnsi="Times New Roman" w:cs="Times New Roman"/>
          <w:color w:val="auto"/>
          <w:sz w:val="32"/>
          <w:szCs w:val="32"/>
        </w:rPr>
        <w:t>台账</w:t>
      </w:r>
      <w:r>
        <w:rPr>
          <w:rFonts w:ascii="Times New Roman" w:hAnsi="Times New Roman" w:cs="Times New Roman"/>
          <w:color w:val="auto"/>
          <w:sz w:val="32"/>
          <w:szCs w:val="32"/>
        </w:rPr>
        <w:t>。组织精干力量采取多种方式加强对台账填报的培训，要让养殖场熟悉填报的具体项目内容、如何填写等。</w:t>
      </w:r>
      <w:bookmarkStart w:id="137" w:name="_Toc117788599"/>
      <w:bookmarkStart w:id="138" w:name="_Toc112078524"/>
      <w:bookmarkStart w:id="139" w:name="_Toc117837773"/>
      <w:bookmarkStart w:id="140" w:name="_Toc3875"/>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4.4.2</w:t>
      </w:r>
      <w:bookmarkEnd w:id="137"/>
      <w:bookmarkEnd w:id="138"/>
      <w:bookmarkEnd w:id="139"/>
      <w:bookmarkEnd w:id="140"/>
      <w:r>
        <w:rPr>
          <w:rFonts w:hint="eastAsia"/>
          <w:color w:val="auto"/>
          <w:sz w:val="32"/>
          <w:szCs w:val="32"/>
        </w:rPr>
        <w:t>规范台账填报程序</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养殖场是</w:t>
      </w:r>
      <w:r>
        <w:rPr>
          <w:rFonts w:hint="eastAsia" w:ascii="Times New Roman" w:hAnsi="Times New Roman" w:cs="Times New Roman"/>
          <w:color w:val="auto"/>
          <w:sz w:val="32"/>
          <w:szCs w:val="32"/>
        </w:rPr>
        <w:t>台账</w:t>
      </w:r>
      <w:r>
        <w:rPr>
          <w:rFonts w:ascii="Times New Roman" w:hAnsi="Times New Roman" w:cs="Times New Roman"/>
          <w:color w:val="auto"/>
          <w:sz w:val="32"/>
          <w:szCs w:val="32"/>
        </w:rPr>
        <w:t>填报主体，需按照要求记录粪污资源化利用台账，并分配专人进行记录和管理，明确“直联直报”系统信息员。各</w:t>
      </w:r>
      <w:r>
        <w:rPr>
          <w:rFonts w:hint="eastAsia" w:ascii="Times New Roman" w:hAnsi="Times New Roman" w:cs="Times New Roman"/>
          <w:color w:val="auto"/>
          <w:sz w:val="32"/>
          <w:szCs w:val="32"/>
        </w:rPr>
        <w:t>镇街加强</w:t>
      </w:r>
      <w:r>
        <w:rPr>
          <w:rFonts w:ascii="Times New Roman" w:hAnsi="Times New Roman" w:cs="Times New Roman"/>
          <w:color w:val="auto"/>
          <w:sz w:val="32"/>
          <w:szCs w:val="32"/>
        </w:rPr>
        <w:t>对</w:t>
      </w:r>
      <w:r>
        <w:rPr>
          <w:rFonts w:hint="eastAsia" w:ascii="Times New Roman" w:hAnsi="Times New Roman" w:cs="Times New Roman"/>
          <w:color w:val="auto"/>
          <w:sz w:val="32"/>
          <w:szCs w:val="32"/>
        </w:rPr>
        <w:t>养殖场户</w:t>
      </w:r>
      <w:r>
        <w:rPr>
          <w:rFonts w:ascii="Times New Roman" w:hAnsi="Times New Roman" w:cs="Times New Roman"/>
          <w:color w:val="auto"/>
          <w:sz w:val="32"/>
          <w:szCs w:val="32"/>
        </w:rPr>
        <w:t>台账的记录和管理要点</w:t>
      </w:r>
      <w:r>
        <w:rPr>
          <w:rFonts w:hint="eastAsia" w:ascii="Times New Roman" w:hAnsi="Times New Roman" w:cs="Times New Roman"/>
          <w:color w:val="auto"/>
          <w:sz w:val="32"/>
          <w:szCs w:val="32"/>
        </w:rPr>
        <w:t>的</w:t>
      </w:r>
      <w:r>
        <w:rPr>
          <w:rFonts w:ascii="Times New Roman" w:hAnsi="Times New Roman" w:cs="Times New Roman"/>
          <w:color w:val="auto"/>
          <w:sz w:val="32"/>
          <w:szCs w:val="32"/>
        </w:rPr>
        <w:t>现场指导</w:t>
      </w:r>
      <w:r>
        <w:rPr>
          <w:rFonts w:hint="eastAsia" w:ascii="Times New Roman" w:hAnsi="Times New Roman" w:cs="Times New Roman"/>
          <w:color w:val="auto"/>
          <w:sz w:val="32"/>
          <w:szCs w:val="32"/>
        </w:rPr>
        <w:t>，</w:t>
      </w:r>
      <w:r>
        <w:rPr>
          <w:rFonts w:ascii="Times New Roman" w:hAnsi="Times New Roman" w:cs="Times New Roman"/>
          <w:color w:val="auto"/>
          <w:sz w:val="32"/>
          <w:szCs w:val="32"/>
        </w:rPr>
        <w:t>参照省下发的</w:t>
      </w:r>
      <w:r>
        <w:rPr>
          <w:rFonts w:hint="eastAsia" w:ascii="Times New Roman" w:hAnsi="Times New Roman" w:cs="Times New Roman"/>
          <w:color w:val="auto"/>
          <w:sz w:val="32"/>
          <w:szCs w:val="32"/>
        </w:rPr>
        <w:t>台账</w:t>
      </w:r>
      <w:r>
        <w:rPr>
          <w:rFonts w:ascii="Times New Roman" w:hAnsi="Times New Roman" w:cs="Times New Roman"/>
          <w:color w:val="auto"/>
          <w:sz w:val="32"/>
          <w:szCs w:val="32"/>
        </w:rPr>
        <w:t>格式，按照适用、方便的原则，探索建立符合养殖场养殖</w:t>
      </w:r>
      <w:r>
        <w:rPr>
          <w:rFonts w:hint="eastAsia" w:ascii="Times New Roman" w:hAnsi="Times New Roman" w:cs="Times New Roman"/>
          <w:color w:val="auto"/>
          <w:sz w:val="32"/>
          <w:szCs w:val="32"/>
        </w:rPr>
        <w:t>情况</w:t>
      </w:r>
      <w:r>
        <w:rPr>
          <w:rFonts w:ascii="Times New Roman" w:hAnsi="Times New Roman" w:cs="Times New Roman"/>
          <w:color w:val="auto"/>
          <w:sz w:val="32"/>
          <w:szCs w:val="32"/>
        </w:rPr>
        <w:t>以及粪污处理利用现状的台账格式。各</w:t>
      </w:r>
      <w:r>
        <w:rPr>
          <w:rFonts w:hint="eastAsia" w:ascii="Times New Roman" w:hAnsi="Times New Roman" w:cs="Times New Roman"/>
          <w:color w:val="auto"/>
          <w:sz w:val="32"/>
          <w:szCs w:val="32"/>
        </w:rPr>
        <w:t>镇街</w:t>
      </w:r>
      <w:r>
        <w:rPr>
          <w:rFonts w:ascii="Times New Roman" w:hAnsi="Times New Roman" w:cs="Times New Roman"/>
          <w:color w:val="auto"/>
          <w:sz w:val="32"/>
          <w:szCs w:val="32"/>
        </w:rPr>
        <w:t>以及相关的管理部门加强监督检查工作，至少每年对每个</w:t>
      </w:r>
      <w:r>
        <w:rPr>
          <w:rFonts w:hint="eastAsia" w:ascii="Times New Roman" w:hAnsi="Times New Roman" w:cs="Times New Roman"/>
          <w:color w:val="auto"/>
          <w:sz w:val="32"/>
          <w:szCs w:val="32"/>
        </w:rPr>
        <w:t>养殖场户</w:t>
      </w:r>
      <w:r>
        <w:rPr>
          <w:rFonts w:ascii="Times New Roman" w:hAnsi="Times New Roman" w:cs="Times New Roman"/>
          <w:color w:val="auto"/>
          <w:sz w:val="32"/>
          <w:szCs w:val="32"/>
        </w:rPr>
        <w:t>进行一次全面的粪污资源化利用管理台账</w:t>
      </w:r>
      <w:r>
        <w:rPr>
          <w:rFonts w:hint="eastAsia" w:ascii="Times New Roman" w:hAnsi="Times New Roman" w:cs="Times New Roman"/>
          <w:color w:val="auto"/>
          <w:sz w:val="32"/>
          <w:szCs w:val="32"/>
        </w:rPr>
        <w:t>的</w:t>
      </w:r>
      <w:r>
        <w:rPr>
          <w:rFonts w:ascii="Times New Roman" w:hAnsi="Times New Roman" w:cs="Times New Roman"/>
          <w:color w:val="auto"/>
          <w:sz w:val="32"/>
          <w:szCs w:val="32"/>
        </w:rPr>
        <w:t>检查工作，对于未记录粪污资源化利用管理台账的养殖</w:t>
      </w:r>
      <w:r>
        <w:rPr>
          <w:rFonts w:hint="eastAsia" w:ascii="Times New Roman" w:hAnsi="Times New Roman" w:cs="Times New Roman"/>
          <w:color w:val="auto"/>
          <w:sz w:val="32"/>
          <w:szCs w:val="32"/>
        </w:rPr>
        <w:t>场户</w:t>
      </w:r>
      <w:r>
        <w:rPr>
          <w:rFonts w:ascii="Times New Roman" w:hAnsi="Times New Roman" w:cs="Times New Roman"/>
          <w:color w:val="auto"/>
          <w:sz w:val="32"/>
          <w:szCs w:val="32"/>
        </w:rPr>
        <w:t>根据情况</w:t>
      </w:r>
      <w:r>
        <w:rPr>
          <w:rFonts w:hint="eastAsia" w:ascii="Times New Roman" w:hAnsi="Times New Roman" w:cs="Times New Roman"/>
          <w:color w:val="auto"/>
          <w:sz w:val="32"/>
          <w:szCs w:val="32"/>
        </w:rPr>
        <w:t>督促指导其整改</w:t>
      </w:r>
      <w:r>
        <w:rPr>
          <w:rFonts w:ascii="Times New Roman" w:hAnsi="Times New Roman" w:cs="Times New Roman"/>
          <w:color w:val="auto"/>
          <w:sz w:val="32"/>
          <w:szCs w:val="32"/>
        </w:rPr>
        <w:t>。</w:t>
      </w:r>
    </w:p>
    <w:p>
      <w:pPr>
        <w:pStyle w:val="4"/>
        <w:spacing w:beforeLines="0" w:afterLines="0" w:line="570" w:lineRule="exact"/>
        <w:ind w:firstLine="641"/>
        <w:jc w:val="both"/>
        <w:rPr>
          <w:rFonts w:eastAsia="华文楷体"/>
          <w:color w:val="auto"/>
          <w:sz w:val="32"/>
          <w:szCs w:val="32"/>
        </w:rPr>
      </w:pPr>
      <w:bookmarkStart w:id="141" w:name="_Toc23170"/>
      <w:r>
        <w:rPr>
          <w:rFonts w:eastAsia="华文楷体"/>
          <w:color w:val="auto"/>
          <w:sz w:val="32"/>
          <w:szCs w:val="32"/>
        </w:rPr>
        <w:t>4.5</w:t>
      </w:r>
      <w:r>
        <w:rPr>
          <w:rFonts w:hint="eastAsia" w:ascii="楷体_GB2312" w:eastAsia="楷体_GB2312"/>
          <w:color w:val="auto"/>
          <w:sz w:val="32"/>
          <w:szCs w:val="32"/>
        </w:rPr>
        <w:t>落实养殖主体责任，强化畜禽养殖业环境监管</w:t>
      </w:r>
      <w:bookmarkEnd w:id="141"/>
    </w:p>
    <w:p>
      <w:pPr>
        <w:pStyle w:val="5"/>
        <w:keepNext w:val="0"/>
        <w:keepLines w:val="0"/>
        <w:widowControl w:val="0"/>
        <w:spacing w:beforeLines="0" w:afterLines="0" w:line="570" w:lineRule="exact"/>
        <w:ind w:firstLine="643" w:firstLineChars="200"/>
        <w:jc w:val="both"/>
        <w:rPr>
          <w:color w:val="auto"/>
          <w:sz w:val="32"/>
          <w:szCs w:val="32"/>
        </w:rPr>
      </w:pPr>
      <w:bookmarkStart w:id="142" w:name="_Toc117788604"/>
      <w:bookmarkStart w:id="143" w:name="_Toc117837778"/>
      <w:bookmarkStart w:id="144" w:name="_Toc112078529"/>
      <w:bookmarkStart w:id="145" w:name="_Toc6503"/>
      <w:bookmarkStart w:id="146" w:name="_Toc112078528"/>
      <w:bookmarkStart w:id="147" w:name="_Toc117788603"/>
      <w:bookmarkStart w:id="148" w:name="_Toc117837777"/>
      <w:bookmarkStart w:id="149" w:name="_Toc3688"/>
      <w:bookmarkStart w:id="150" w:name="_Toc6582"/>
      <w:r>
        <w:rPr>
          <w:rFonts w:hint="eastAsia"/>
          <w:color w:val="auto"/>
          <w:sz w:val="32"/>
          <w:szCs w:val="32"/>
        </w:rPr>
        <w:t>4.5.1引导落实养殖场户主体责任</w:t>
      </w:r>
      <w:bookmarkEnd w:id="142"/>
      <w:bookmarkEnd w:id="143"/>
      <w:bookmarkEnd w:id="144"/>
      <w:bookmarkEnd w:id="145"/>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生态环境、农业农村等主管部门要加强宣传引导，</w:t>
      </w:r>
      <w:r>
        <w:rPr>
          <w:rFonts w:hint="eastAsia" w:ascii="Times New Roman" w:hAnsi="Times New Roman" w:cs="Times New Roman"/>
          <w:color w:val="auto"/>
          <w:sz w:val="32"/>
          <w:szCs w:val="32"/>
        </w:rPr>
        <w:t>包括：（1）通过加强</w:t>
      </w:r>
      <w:r>
        <w:rPr>
          <w:rFonts w:ascii="Times New Roman" w:hAnsi="Times New Roman" w:cs="Times New Roman"/>
          <w:color w:val="auto"/>
          <w:sz w:val="32"/>
          <w:szCs w:val="32"/>
        </w:rPr>
        <w:t>宣传《环境保护法》、《畜禽规模养殖污染防治条例》等法律法</w:t>
      </w:r>
      <w:r>
        <w:rPr>
          <w:rFonts w:hint="eastAsia" w:ascii="Times New Roman" w:hAnsi="Times New Roman" w:cs="Times New Roman"/>
          <w:color w:val="auto"/>
          <w:sz w:val="32"/>
          <w:szCs w:val="32"/>
        </w:rPr>
        <w:t>规</w:t>
      </w:r>
      <w:r>
        <w:rPr>
          <w:rFonts w:ascii="Times New Roman" w:hAnsi="Times New Roman" w:cs="Times New Roman"/>
          <w:color w:val="auto"/>
          <w:sz w:val="32"/>
          <w:szCs w:val="32"/>
        </w:rPr>
        <w:t>和相关政策</w:t>
      </w:r>
      <w:r>
        <w:rPr>
          <w:rFonts w:hint="eastAsia" w:ascii="Times New Roman" w:hAnsi="Times New Roman" w:cs="Times New Roman"/>
          <w:color w:val="auto"/>
          <w:sz w:val="32"/>
          <w:szCs w:val="32"/>
        </w:rPr>
        <w:t>，提升养殖场户环境污染防治意识；（2）</w:t>
      </w:r>
      <w:r>
        <w:rPr>
          <w:rFonts w:ascii="Times New Roman" w:hAnsi="Times New Roman" w:cs="Times New Roman"/>
          <w:color w:val="auto"/>
          <w:sz w:val="32"/>
          <w:szCs w:val="32"/>
        </w:rPr>
        <w:t>发放宣传册、张贴告知书、明白纸</w:t>
      </w:r>
      <w:r>
        <w:rPr>
          <w:rFonts w:hint="eastAsia" w:ascii="Times New Roman" w:hAnsi="Times New Roman" w:cs="Times New Roman"/>
          <w:color w:val="auto"/>
          <w:sz w:val="32"/>
          <w:szCs w:val="32"/>
        </w:rPr>
        <w:t>等落实</w:t>
      </w:r>
      <w:r>
        <w:rPr>
          <w:rFonts w:ascii="Times New Roman" w:hAnsi="Times New Roman" w:cs="Times New Roman"/>
          <w:color w:val="auto"/>
          <w:sz w:val="32"/>
          <w:szCs w:val="32"/>
        </w:rPr>
        <w:t>告知承诺</w:t>
      </w:r>
      <w:r>
        <w:rPr>
          <w:rFonts w:hint="eastAsia" w:ascii="Times New Roman" w:hAnsi="Times New Roman" w:cs="Times New Roman"/>
          <w:color w:val="auto"/>
          <w:sz w:val="32"/>
          <w:szCs w:val="32"/>
        </w:rPr>
        <w:t>，明确</w:t>
      </w:r>
      <w:r>
        <w:rPr>
          <w:rFonts w:ascii="Times New Roman" w:hAnsi="Times New Roman" w:cs="Times New Roman"/>
          <w:color w:val="auto"/>
          <w:sz w:val="32"/>
          <w:szCs w:val="32"/>
        </w:rPr>
        <w:t>畜禽养殖业主环保主体责任</w:t>
      </w:r>
      <w:r>
        <w:rPr>
          <w:rFonts w:hint="eastAsia" w:ascii="Times New Roman" w:hAnsi="Times New Roman" w:cs="Times New Roman"/>
          <w:color w:val="auto"/>
          <w:sz w:val="32"/>
          <w:szCs w:val="32"/>
        </w:rPr>
        <w:t>；（3）</w:t>
      </w:r>
      <w:r>
        <w:rPr>
          <w:rFonts w:ascii="Times New Roman" w:hAnsi="Times New Roman" w:cs="Times New Roman"/>
          <w:color w:val="auto"/>
          <w:sz w:val="32"/>
          <w:szCs w:val="32"/>
        </w:rPr>
        <w:t>利用反面典型</w:t>
      </w:r>
      <w:r>
        <w:rPr>
          <w:rFonts w:hint="eastAsia" w:ascii="Times New Roman" w:hAnsi="Times New Roman" w:cs="Times New Roman"/>
          <w:color w:val="auto"/>
          <w:sz w:val="32"/>
          <w:szCs w:val="32"/>
        </w:rPr>
        <w:t>案例</w:t>
      </w:r>
      <w:r>
        <w:rPr>
          <w:rFonts w:ascii="Times New Roman" w:hAnsi="Times New Roman" w:cs="Times New Roman"/>
          <w:color w:val="auto"/>
          <w:sz w:val="32"/>
          <w:szCs w:val="32"/>
        </w:rPr>
        <w:t>，开展警示教育</w:t>
      </w:r>
      <w:r>
        <w:rPr>
          <w:rFonts w:hint="eastAsia" w:ascii="Times New Roman" w:hAnsi="Times New Roman" w:cs="Times New Roman"/>
          <w:color w:val="auto"/>
          <w:sz w:val="32"/>
          <w:szCs w:val="32"/>
        </w:rPr>
        <w:t>等措施，促进监管进一步完善。</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通过宣传引导促使</w:t>
      </w:r>
      <w:r>
        <w:rPr>
          <w:rFonts w:ascii="Times New Roman" w:hAnsi="Times New Roman" w:cs="Times New Roman"/>
          <w:color w:val="auto"/>
          <w:sz w:val="32"/>
          <w:szCs w:val="32"/>
        </w:rPr>
        <w:t>养殖场户落实主体责任，在养殖场投入使用前，建设完成相应的</w:t>
      </w:r>
      <w:r>
        <w:rPr>
          <w:rFonts w:hint="eastAsia" w:ascii="Times New Roman" w:hAnsi="Times New Roman" w:cs="Times New Roman"/>
          <w:color w:val="auto"/>
          <w:sz w:val="32"/>
          <w:szCs w:val="32"/>
        </w:rPr>
        <w:t>雨污</w:t>
      </w:r>
      <w:r>
        <w:rPr>
          <w:rFonts w:ascii="Times New Roman" w:hAnsi="Times New Roman" w:cs="Times New Roman"/>
          <w:color w:val="auto"/>
          <w:sz w:val="32"/>
          <w:szCs w:val="32"/>
        </w:rPr>
        <w:t>分流设施，畜禽粪便、污水的贮存设施</w:t>
      </w:r>
      <w:r>
        <w:rPr>
          <w:rFonts w:hint="eastAsia" w:ascii="Times New Roman" w:hAnsi="Times New Roman" w:cs="Times New Roman"/>
          <w:color w:val="auto"/>
          <w:sz w:val="32"/>
          <w:szCs w:val="32"/>
        </w:rPr>
        <w:t>以及</w:t>
      </w:r>
      <w:r>
        <w:rPr>
          <w:rFonts w:ascii="Times New Roman" w:hAnsi="Times New Roman" w:cs="Times New Roman"/>
          <w:color w:val="auto"/>
          <w:sz w:val="32"/>
          <w:szCs w:val="32"/>
        </w:rPr>
        <w:t>粪污厌氧消化和堆沤等综合利用和无害化处理设施，或委托他人对畜禽养殖废弃物代为综合利用和无害化处理</w:t>
      </w:r>
      <w:r>
        <w:rPr>
          <w:rFonts w:hint="eastAsia" w:ascii="Times New Roman" w:hAnsi="Times New Roman" w:cs="Times New Roman"/>
          <w:color w:val="auto"/>
          <w:sz w:val="32"/>
          <w:szCs w:val="32"/>
        </w:rPr>
        <w:t>。鼓励指导养殖场户对</w:t>
      </w:r>
      <w:r>
        <w:rPr>
          <w:rFonts w:ascii="Times New Roman" w:hAnsi="Times New Roman" w:cs="Times New Roman"/>
          <w:color w:val="auto"/>
          <w:sz w:val="32"/>
          <w:szCs w:val="32"/>
        </w:rPr>
        <w:t>畜禽养殖粪污处理设施</w:t>
      </w:r>
      <w:r>
        <w:rPr>
          <w:rFonts w:hint="eastAsia" w:ascii="Times New Roman" w:hAnsi="Times New Roman" w:cs="Times New Roman"/>
          <w:color w:val="auto"/>
          <w:sz w:val="32"/>
          <w:szCs w:val="32"/>
        </w:rPr>
        <w:t>进行升级改造</w:t>
      </w:r>
      <w:r>
        <w:rPr>
          <w:rFonts w:ascii="Times New Roman" w:hAnsi="Times New Roman" w:cs="Times New Roman"/>
          <w:color w:val="auto"/>
          <w:sz w:val="32"/>
          <w:szCs w:val="32"/>
        </w:rPr>
        <w:t>，</w:t>
      </w:r>
      <w:r>
        <w:rPr>
          <w:rFonts w:hint="eastAsia" w:ascii="Times New Roman" w:hAnsi="Times New Roman" w:cs="Times New Roman"/>
          <w:color w:val="auto"/>
          <w:sz w:val="32"/>
          <w:szCs w:val="32"/>
        </w:rPr>
        <w:t>加强对设施的运行维护，并</w:t>
      </w:r>
      <w:r>
        <w:rPr>
          <w:rFonts w:ascii="Times New Roman" w:hAnsi="Times New Roman" w:cs="Times New Roman"/>
          <w:color w:val="auto"/>
          <w:sz w:val="32"/>
          <w:szCs w:val="32"/>
        </w:rPr>
        <w:t>结合当地种养情况和环境压力制定污染风险防范措施。</w:t>
      </w:r>
    </w:p>
    <w:p>
      <w:pPr>
        <w:pStyle w:val="5"/>
        <w:keepNext w:val="0"/>
        <w:keepLines w:val="0"/>
        <w:widowControl w:val="0"/>
        <w:spacing w:beforeLines="0" w:afterLines="0" w:line="570" w:lineRule="exact"/>
        <w:ind w:firstLine="643" w:firstLineChars="200"/>
        <w:jc w:val="both"/>
        <w:rPr>
          <w:color w:val="auto"/>
          <w:sz w:val="32"/>
          <w:szCs w:val="32"/>
        </w:rPr>
      </w:pPr>
      <w:r>
        <w:rPr>
          <w:rFonts w:hint="eastAsia"/>
          <w:color w:val="auto"/>
          <w:sz w:val="32"/>
          <w:szCs w:val="32"/>
        </w:rPr>
        <w:t>4.5.2多部门协作加强畜禽养殖业环境监督执法</w:t>
      </w:r>
      <w:bookmarkEnd w:id="146"/>
      <w:bookmarkEnd w:id="147"/>
      <w:bookmarkEnd w:id="148"/>
      <w:bookmarkEnd w:id="149"/>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统筹区域畜禽养殖污染防治工作，细化任务分工。生态环境部门要督促规模养殖场开展环境</w:t>
      </w:r>
      <w:r>
        <w:rPr>
          <w:rFonts w:hint="eastAsia" w:ascii="Times New Roman" w:hAnsi="Times New Roman" w:cs="Times New Roman"/>
          <w:color w:val="auto"/>
          <w:sz w:val="32"/>
          <w:szCs w:val="32"/>
        </w:rPr>
        <w:t>影响</w:t>
      </w:r>
      <w:r>
        <w:rPr>
          <w:rFonts w:ascii="Times New Roman" w:hAnsi="Times New Roman" w:cs="Times New Roman"/>
          <w:color w:val="auto"/>
          <w:sz w:val="32"/>
          <w:szCs w:val="32"/>
        </w:rPr>
        <w:t>评价</w:t>
      </w:r>
      <w:r>
        <w:rPr>
          <w:rFonts w:hint="eastAsia" w:ascii="Times New Roman" w:hAnsi="Times New Roman" w:cs="Times New Roman"/>
          <w:color w:val="auto"/>
          <w:sz w:val="32"/>
          <w:szCs w:val="32"/>
        </w:rPr>
        <w:t>、</w:t>
      </w:r>
      <w:r>
        <w:rPr>
          <w:rFonts w:ascii="Times New Roman" w:hAnsi="Times New Roman" w:cs="Times New Roman"/>
          <w:color w:val="auto"/>
          <w:sz w:val="32"/>
          <w:szCs w:val="32"/>
        </w:rPr>
        <w:t>执行“三同时”制度</w:t>
      </w:r>
      <w:r>
        <w:rPr>
          <w:rFonts w:hint="eastAsia" w:ascii="Times New Roman" w:hAnsi="Times New Roman" w:cs="Times New Roman"/>
          <w:color w:val="auto"/>
          <w:sz w:val="32"/>
          <w:szCs w:val="32"/>
        </w:rPr>
        <w:t>，对</w:t>
      </w:r>
      <w:r>
        <w:rPr>
          <w:rFonts w:ascii="Times New Roman" w:hAnsi="Times New Roman" w:cs="Times New Roman"/>
          <w:color w:val="auto"/>
          <w:sz w:val="32"/>
          <w:szCs w:val="32"/>
        </w:rPr>
        <w:t>污染防治设置配套不到位、粪污未经无害化处理直排外环境等违法行为，建立问题清单和责任清单，明确整改目标和整改时限。畅通</w:t>
      </w:r>
      <w:r>
        <w:rPr>
          <w:rFonts w:hint="eastAsia" w:ascii="Times New Roman" w:hAnsi="Times New Roman" w:cs="Times New Roman"/>
          <w:color w:val="auto"/>
          <w:sz w:val="32"/>
          <w:szCs w:val="32"/>
        </w:rPr>
        <w:t>12345市长热线</w:t>
      </w:r>
      <w:r>
        <w:rPr>
          <w:rFonts w:ascii="Times New Roman" w:hAnsi="Times New Roman" w:cs="Times New Roman"/>
          <w:color w:val="auto"/>
          <w:sz w:val="32"/>
          <w:szCs w:val="32"/>
        </w:rPr>
        <w:t>举报途径，及时查处环境违法行为。</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农业部门联合</w:t>
      </w:r>
      <w:r>
        <w:rPr>
          <w:rFonts w:hint="eastAsia" w:ascii="Times New Roman" w:hAnsi="Times New Roman" w:cs="Times New Roman"/>
          <w:color w:val="auto"/>
          <w:sz w:val="32"/>
          <w:szCs w:val="32"/>
        </w:rPr>
        <w:t>生态环境部门</w:t>
      </w:r>
      <w:r>
        <w:rPr>
          <w:rFonts w:ascii="Times New Roman" w:hAnsi="Times New Roman" w:cs="Times New Roman"/>
          <w:color w:val="auto"/>
          <w:sz w:val="32"/>
          <w:szCs w:val="32"/>
        </w:rPr>
        <w:t>对规模养殖场粪污处理设施配套情况进行随机检查，促进配建设施稳定运行，督促畜禽规模养殖场粪污资源化利用设施加快配建。对规模养殖场</w:t>
      </w:r>
      <w:r>
        <w:rPr>
          <w:rFonts w:hint="eastAsia" w:ascii="Times New Roman" w:hAnsi="Times New Roman" w:cs="Times New Roman"/>
          <w:color w:val="auto"/>
          <w:sz w:val="32"/>
          <w:szCs w:val="32"/>
        </w:rPr>
        <w:t>户</w:t>
      </w:r>
      <w:r>
        <w:rPr>
          <w:rFonts w:ascii="Times New Roman" w:hAnsi="Times New Roman" w:cs="Times New Roman"/>
          <w:color w:val="auto"/>
          <w:sz w:val="32"/>
          <w:szCs w:val="32"/>
        </w:rPr>
        <w:t>的雨污分流</w:t>
      </w:r>
      <w:r>
        <w:rPr>
          <w:rFonts w:hint="eastAsia" w:ascii="Times New Roman" w:hAnsi="Times New Roman" w:cs="Times New Roman"/>
          <w:color w:val="auto"/>
          <w:sz w:val="32"/>
          <w:szCs w:val="32"/>
        </w:rPr>
        <w:t>、“</w:t>
      </w:r>
      <w:r>
        <w:rPr>
          <w:rFonts w:ascii="Times New Roman" w:hAnsi="Times New Roman" w:cs="Times New Roman"/>
          <w:color w:val="auto"/>
          <w:sz w:val="32"/>
          <w:szCs w:val="32"/>
        </w:rPr>
        <w:t>防雨、防渗、防漏</w:t>
      </w:r>
      <w:r>
        <w:rPr>
          <w:rFonts w:hint="eastAsia" w:ascii="Times New Roman" w:hAnsi="Times New Roman" w:cs="Times New Roman"/>
          <w:color w:val="auto"/>
          <w:sz w:val="32"/>
          <w:szCs w:val="32"/>
        </w:rPr>
        <w:t>”情况</w:t>
      </w:r>
      <w:r>
        <w:rPr>
          <w:rFonts w:ascii="Times New Roman" w:hAnsi="Times New Roman" w:cs="Times New Roman"/>
          <w:color w:val="auto"/>
          <w:sz w:val="32"/>
          <w:szCs w:val="32"/>
        </w:rPr>
        <w:t>及粪污储存</w:t>
      </w:r>
      <w:r>
        <w:rPr>
          <w:rFonts w:hint="eastAsia" w:ascii="Times New Roman" w:hAnsi="Times New Roman" w:cs="Times New Roman"/>
          <w:color w:val="auto"/>
          <w:sz w:val="32"/>
          <w:szCs w:val="32"/>
        </w:rPr>
        <w:t>设施</w:t>
      </w:r>
      <w:r>
        <w:rPr>
          <w:rFonts w:ascii="Times New Roman" w:hAnsi="Times New Roman" w:cs="Times New Roman"/>
          <w:color w:val="auto"/>
          <w:sz w:val="32"/>
          <w:szCs w:val="32"/>
        </w:rPr>
        <w:t>、粪污处理使用记录档案等进行全面督导检查。</w:t>
      </w:r>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建立健全区、镇（街）、村三级监管体系，实施属地管理，对畜禽养殖粪污收集处理情况，以及畜禽粪污资源化利用计划、台账填报情况进行指导与检查。</w:t>
      </w:r>
    </w:p>
    <w:p>
      <w:pPr>
        <w:pStyle w:val="5"/>
        <w:keepNext w:val="0"/>
        <w:keepLines w:val="0"/>
        <w:widowControl w:val="0"/>
        <w:spacing w:beforeLines="0" w:afterLines="0" w:line="570" w:lineRule="exact"/>
        <w:ind w:firstLine="643" w:firstLineChars="200"/>
        <w:jc w:val="both"/>
        <w:rPr>
          <w:color w:val="auto"/>
          <w:sz w:val="32"/>
          <w:szCs w:val="32"/>
        </w:rPr>
      </w:pPr>
      <w:bookmarkStart w:id="151" w:name="_Toc117788606"/>
      <w:bookmarkStart w:id="152" w:name="_Toc1497"/>
      <w:bookmarkStart w:id="153" w:name="_Toc117837780"/>
      <w:bookmarkStart w:id="154" w:name="_Toc112078531"/>
      <w:r>
        <w:rPr>
          <w:rFonts w:hint="eastAsia"/>
          <w:color w:val="auto"/>
          <w:sz w:val="32"/>
          <w:szCs w:val="32"/>
        </w:rPr>
        <w:t>4.5.3</w:t>
      </w:r>
      <w:r>
        <w:rPr>
          <w:rFonts w:hint="eastAsia"/>
          <w:bCs/>
          <w:color w:val="auto"/>
          <w:sz w:val="32"/>
          <w:szCs w:val="32"/>
        </w:rPr>
        <w:t>探索</w:t>
      </w:r>
      <w:r>
        <w:rPr>
          <w:rFonts w:hint="eastAsia"/>
          <w:color w:val="auto"/>
          <w:sz w:val="32"/>
          <w:szCs w:val="32"/>
        </w:rPr>
        <w:t>畜禽养殖环境管理智慧水平</w:t>
      </w:r>
      <w:bookmarkEnd w:id="151"/>
      <w:bookmarkEnd w:id="152"/>
      <w:bookmarkEnd w:id="153"/>
      <w:bookmarkEnd w:id="154"/>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结合国家、</w:t>
      </w:r>
      <w:r>
        <w:rPr>
          <w:rFonts w:ascii="Times New Roman" w:hAnsi="Times New Roman" w:cs="Times New Roman"/>
          <w:color w:val="auto"/>
          <w:sz w:val="32"/>
          <w:szCs w:val="32"/>
        </w:rPr>
        <w:t>省</w:t>
      </w:r>
      <w:r>
        <w:rPr>
          <w:rFonts w:hint="eastAsia" w:ascii="Times New Roman" w:hAnsi="Times New Roman" w:cs="Times New Roman"/>
          <w:color w:val="auto"/>
          <w:sz w:val="32"/>
          <w:szCs w:val="32"/>
        </w:rPr>
        <w:t>、市</w:t>
      </w:r>
      <w:r>
        <w:rPr>
          <w:rFonts w:ascii="Times New Roman" w:hAnsi="Times New Roman" w:cs="Times New Roman"/>
          <w:color w:val="auto"/>
          <w:sz w:val="32"/>
          <w:szCs w:val="32"/>
        </w:rPr>
        <w:t>智慧畜牧平台、智慧环保平台，借用互联网、物联网、大数据技术，探索养殖企业管理数据与</w:t>
      </w:r>
      <w:r>
        <w:rPr>
          <w:rFonts w:hint="eastAsia" w:ascii="Times New Roman" w:hAnsi="Times New Roman" w:cs="Times New Roman"/>
          <w:color w:val="auto"/>
          <w:sz w:val="32"/>
          <w:szCs w:val="32"/>
        </w:rPr>
        <w:t>上级相关业务</w:t>
      </w:r>
      <w:r>
        <w:rPr>
          <w:rFonts w:ascii="Times New Roman" w:hAnsi="Times New Roman" w:cs="Times New Roman"/>
          <w:color w:val="auto"/>
          <w:sz w:val="32"/>
          <w:szCs w:val="32"/>
        </w:rPr>
        <w:t>平台的数字化对接，动态掌握辖区养殖场、养殖规模、废弃物综合利用、污染防治设施建设等情况，实现畜禽养殖业数字化和智能化。</w:t>
      </w:r>
    </w:p>
    <w:p>
      <w:pPr>
        <w:widowControl w:val="0"/>
        <w:spacing w:line="570" w:lineRule="exact"/>
        <w:ind w:firstLine="640"/>
        <w:jc w:val="both"/>
        <w:rPr>
          <w:rFonts w:ascii="Times New Roman" w:hAnsi="Times New Roman" w:cs="Times New Roman"/>
          <w:color w:val="0000FF"/>
          <w:sz w:val="32"/>
          <w:szCs w:val="32"/>
        </w:rPr>
        <w:sectPr>
          <w:footerReference r:id="rId24" w:type="default"/>
          <w:pgSz w:w="11906" w:h="16838"/>
          <w:pgMar w:top="1814" w:right="1474" w:bottom="1701" w:left="1587" w:header="720" w:footer="1304" w:gutter="0"/>
          <w:cols w:space="0" w:num="1"/>
          <w:docGrid w:linePitch="381" w:charSpace="0"/>
        </w:sectPr>
      </w:pPr>
    </w:p>
    <w:p>
      <w:pPr>
        <w:pStyle w:val="3"/>
        <w:keepNext w:val="0"/>
        <w:keepLines w:val="0"/>
        <w:widowControl w:val="0"/>
        <w:spacing w:after="0" w:line="570" w:lineRule="exact"/>
        <w:ind w:left="0" w:right="0" w:firstLine="643"/>
        <w:jc w:val="both"/>
        <w:rPr>
          <w:rFonts w:ascii="Times New Roman" w:hAnsi="Times New Roman" w:eastAsia="黑体" w:cs="Times New Roman"/>
          <w:b/>
          <w:color w:val="auto"/>
          <w:kern w:val="44"/>
          <w:sz w:val="32"/>
          <w:szCs w:val="32"/>
        </w:rPr>
      </w:pPr>
      <w:r>
        <w:rPr>
          <w:rFonts w:hint="eastAsia" w:ascii="Times New Roman" w:hAnsi="Times New Roman" w:eastAsia="黑体" w:cs="Times New Roman"/>
          <w:b/>
          <w:color w:val="auto"/>
          <w:kern w:val="44"/>
          <w:sz w:val="32"/>
          <w:szCs w:val="32"/>
        </w:rPr>
        <w:t>5</w:t>
      </w:r>
      <w:r>
        <w:rPr>
          <w:rFonts w:ascii="Times New Roman" w:hAnsi="Times New Roman" w:eastAsia="黑体" w:cs="Times New Roman"/>
          <w:b/>
          <w:color w:val="auto"/>
          <w:kern w:val="44"/>
          <w:sz w:val="32"/>
          <w:szCs w:val="32"/>
          <w:lang w:val="en-GB"/>
        </w:rPr>
        <w:t>重点工程</w:t>
      </w:r>
      <w:r>
        <w:rPr>
          <w:rFonts w:hint="eastAsia" w:ascii="Times New Roman" w:hAnsi="Times New Roman" w:eastAsia="黑体" w:cs="Times New Roman"/>
          <w:b/>
          <w:color w:val="auto"/>
          <w:kern w:val="44"/>
          <w:sz w:val="32"/>
          <w:szCs w:val="32"/>
        </w:rPr>
        <w:t>与资金筹措</w:t>
      </w:r>
      <w:bookmarkEnd w:id="150"/>
    </w:p>
    <w:p>
      <w:pPr>
        <w:pStyle w:val="4"/>
        <w:spacing w:beforeLines="0" w:afterLines="0" w:line="570" w:lineRule="exact"/>
        <w:ind w:firstLine="641"/>
        <w:jc w:val="both"/>
        <w:rPr>
          <w:rFonts w:eastAsia="华文楷体"/>
          <w:color w:val="auto"/>
          <w:sz w:val="32"/>
          <w:szCs w:val="32"/>
        </w:rPr>
      </w:pPr>
      <w:bookmarkStart w:id="155" w:name="_Toc13173"/>
      <w:r>
        <w:rPr>
          <w:rFonts w:eastAsia="华文楷体"/>
          <w:color w:val="auto"/>
          <w:sz w:val="32"/>
          <w:szCs w:val="32"/>
        </w:rPr>
        <w:t>5.</w:t>
      </w:r>
      <w:r>
        <w:rPr>
          <w:rFonts w:hint="eastAsia" w:eastAsia="华文楷体"/>
          <w:color w:val="auto"/>
          <w:sz w:val="32"/>
          <w:szCs w:val="32"/>
        </w:rPr>
        <w:t>1</w:t>
      </w:r>
      <w:r>
        <w:rPr>
          <w:rFonts w:hint="eastAsia" w:ascii="楷体_GB2312" w:eastAsia="楷体_GB2312"/>
          <w:color w:val="auto"/>
          <w:sz w:val="32"/>
          <w:szCs w:val="32"/>
        </w:rPr>
        <w:t>重点工程</w:t>
      </w:r>
      <w:bookmarkEnd w:id="155"/>
    </w:p>
    <w:p>
      <w:pPr>
        <w:widowControl w:val="0"/>
        <w:spacing w:line="570" w:lineRule="exact"/>
        <w:ind w:firstLine="640"/>
        <w:jc w:val="both"/>
        <w:rPr>
          <w:rFonts w:ascii="Times New Roman" w:hAnsi="Times New Roman" w:cs="Times New Roman"/>
          <w:color w:val="auto"/>
          <w:sz w:val="32"/>
          <w:szCs w:val="32"/>
        </w:rPr>
      </w:pPr>
      <w:r>
        <w:rPr>
          <w:rFonts w:hint="eastAsia"/>
          <w:color w:val="auto"/>
          <w:sz w:val="32"/>
          <w:szCs w:val="32"/>
        </w:rPr>
        <w:t>针对长清区畜禽养殖污染防治存在的问题，为确保规划任务指标的顺利实施，结合长清区实际情况，拟实施两项畜禽养殖场户粪污处理设施</w:t>
      </w:r>
      <w:r>
        <w:rPr>
          <w:rFonts w:ascii="Times New Roman" w:hAnsi="Times New Roman" w:cs="Times New Roman"/>
          <w:color w:val="auto"/>
          <w:sz w:val="32"/>
          <w:szCs w:val="32"/>
        </w:rPr>
        <w:t>建设工程</w:t>
      </w:r>
      <w:r>
        <w:rPr>
          <w:rFonts w:hint="eastAsia" w:ascii="Times New Roman" w:hAnsi="Times New Roman" w:cs="Times New Roman"/>
          <w:color w:val="auto"/>
          <w:sz w:val="32"/>
          <w:szCs w:val="32"/>
        </w:rPr>
        <w:t>：</w:t>
      </w:r>
    </w:p>
    <w:p>
      <w:pPr>
        <w:widowControl w:val="0"/>
        <w:tabs>
          <w:tab w:val="left" w:pos="312"/>
        </w:tabs>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1.</w:t>
      </w:r>
      <w:r>
        <w:rPr>
          <w:rFonts w:ascii="Times New Roman" w:hAnsi="Times New Roman" w:cs="Times New Roman"/>
          <w:color w:val="auto"/>
          <w:sz w:val="32"/>
          <w:szCs w:val="32"/>
        </w:rPr>
        <w:t>济南佳宝乳业有限公司生态牧场分公司</w:t>
      </w:r>
      <w:r>
        <w:rPr>
          <w:rFonts w:hint="eastAsia" w:ascii="Times New Roman" w:hAnsi="Times New Roman" w:cs="Times New Roman"/>
          <w:color w:val="auto"/>
          <w:sz w:val="32"/>
          <w:szCs w:val="32"/>
        </w:rPr>
        <w:t>总投资2200万</w:t>
      </w:r>
      <w:r>
        <w:rPr>
          <w:rFonts w:ascii="Times New Roman" w:hAnsi="Times New Roman" w:cs="Times New Roman"/>
          <w:color w:val="auto"/>
          <w:sz w:val="32"/>
          <w:szCs w:val="32"/>
        </w:rPr>
        <w:t>于长清区孝里街道潘庄村建设</w:t>
      </w:r>
      <w:r>
        <w:rPr>
          <w:rFonts w:hint="eastAsia" w:ascii="Times New Roman" w:hAnsi="Times New Roman" w:cs="Times New Roman"/>
          <w:color w:val="auto"/>
          <w:sz w:val="32"/>
          <w:szCs w:val="32"/>
        </w:rPr>
        <w:t>1万头奶牛</w:t>
      </w:r>
      <w:r>
        <w:rPr>
          <w:rFonts w:ascii="Times New Roman" w:hAnsi="Times New Roman" w:cs="Times New Roman"/>
          <w:color w:val="auto"/>
          <w:sz w:val="32"/>
          <w:szCs w:val="32"/>
        </w:rPr>
        <w:t>生态农场项目</w:t>
      </w:r>
      <w:r>
        <w:rPr>
          <w:rFonts w:hint="eastAsia" w:ascii="Times New Roman" w:hAnsi="Times New Roman" w:cs="Times New Roman"/>
          <w:color w:val="auto"/>
          <w:sz w:val="32"/>
          <w:szCs w:val="32"/>
        </w:rPr>
        <w:t>。</w:t>
      </w:r>
      <w:r>
        <w:rPr>
          <w:rFonts w:ascii="Times New Roman" w:hAnsi="Times New Roman" w:cs="Times New Roman"/>
          <w:color w:val="auto"/>
          <w:sz w:val="32"/>
          <w:szCs w:val="32"/>
        </w:rPr>
        <w:t>投资570万元配套粪污处理工程，采用“中转暂存+固液分离+厌氧产沼气”的处理工艺，</w:t>
      </w:r>
      <w:r>
        <w:rPr>
          <w:rFonts w:hint="eastAsia" w:ascii="Times New Roman" w:hAnsi="Times New Roman" w:cs="Times New Roman"/>
          <w:color w:val="auto"/>
          <w:sz w:val="32"/>
          <w:szCs w:val="32"/>
        </w:rPr>
        <w:t xml:space="preserve">配备4000 </w:t>
      </w:r>
      <w:r>
        <w:rPr>
          <w:rFonts w:ascii="Times New Roman" w:hAnsi="Times New Roman" w:cs="Times New Roman"/>
          <w:color w:val="auto"/>
          <w:sz w:val="32"/>
          <w:szCs w:val="32"/>
        </w:rPr>
        <w:t>m³储粪场</w:t>
      </w:r>
      <w:r>
        <w:rPr>
          <w:rFonts w:hint="eastAsia" w:ascii="Times New Roman" w:hAnsi="Times New Roman" w:cs="Times New Roman"/>
          <w:color w:val="auto"/>
          <w:sz w:val="32"/>
          <w:szCs w:val="32"/>
        </w:rPr>
        <w:t>，70000 m³污水储存设施。由经</w:t>
      </w:r>
      <w:r>
        <w:rPr>
          <w:rFonts w:ascii="Times New Roman" w:hAnsi="Times New Roman" w:cs="Times New Roman"/>
          <w:color w:val="auto"/>
          <w:sz w:val="32"/>
          <w:szCs w:val="32"/>
        </w:rPr>
        <w:t>粪污收集管道、中转暂存池、常温厌氧发酵囊等设施，粪尿经分离之后，固体物质经智能控制的好氧高温发酵系统后回填卧床垫料使用，液体排放至常温厌氧发酵囊进行4-6个月的厌氧发酵，发酵完成后用于农田春秋两季的施肥</w:t>
      </w:r>
      <w:r>
        <w:rPr>
          <w:rFonts w:hint="eastAsia" w:ascii="Times New Roman" w:hAnsi="Times New Roman" w:cs="Times New Roman"/>
          <w:color w:val="auto"/>
          <w:sz w:val="32"/>
          <w:szCs w:val="32"/>
        </w:rPr>
        <w:t>，</w:t>
      </w:r>
      <w:r>
        <w:rPr>
          <w:rFonts w:ascii="Times New Roman" w:hAnsi="Times New Roman" w:cs="Times New Roman"/>
          <w:color w:val="auto"/>
          <w:sz w:val="32"/>
          <w:szCs w:val="32"/>
        </w:rPr>
        <w:t>项目建成后可解决牧场内粪污资源化利用问题。</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2.</w:t>
      </w:r>
      <w:r>
        <w:rPr>
          <w:rFonts w:hint="eastAsia" w:ascii="Times New Roman" w:hAnsi="Times New Roman" w:cs="Times New Roman"/>
          <w:color w:val="auto"/>
          <w:sz w:val="32"/>
          <w:szCs w:val="32"/>
        </w:rPr>
        <w:t>普菲特现代智慧农业（山东）有限公司</w:t>
      </w:r>
      <w:r>
        <w:rPr>
          <w:rFonts w:ascii="Times New Roman" w:hAnsi="Times New Roman" w:cs="Times New Roman"/>
          <w:color w:val="auto"/>
          <w:sz w:val="32"/>
          <w:szCs w:val="32"/>
        </w:rPr>
        <w:t>10万只鸡项目计划投资200余万新建粪污处理设施，配备干粪处理设备，粪污经收集后通过鸡舍余温风干，</w:t>
      </w:r>
      <w:r>
        <w:rPr>
          <w:rFonts w:hint="eastAsia" w:ascii="Times New Roman" w:hAnsi="Times New Roman" w:cs="Times New Roman"/>
          <w:color w:val="auto"/>
          <w:sz w:val="32"/>
          <w:szCs w:val="32"/>
        </w:rPr>
        <w:t>实现</w:t>
      </w:r>
      <w:r>
        <w:rPr>
          <w:rFonts w:ascii="Times New Roman" w:hAnsi="Times New Roman" w:cs="Times New Roman"/>
          <w:color w:val="auto"/>
          <w:sz w:val="32"/>
          <w:szCs w:val="32"/>
        </w:rPr>
        <w:t>鸡粪无害化处理，降低环境污染；采用程序控制进料量、处理时间、干燥温度、成品湿度等参数，可以做到同批次、同场区甚至同地区的干燥鸡粪质量相同，有利于下一步的深加工工序</w:t>
      </w:r>
      <w:r>
        <w:rPr>
          <w:rFonts w:hint="eastAsia" w:ascii="Times New Roman" w:hAnsi="Times New Roman" w:cs="Times New Roman"/>
          <w:color w:val="auto"/>
          <w:sz w:val="32"/>
          <w:szCs w:val="32"/>
        </w:rPr>
        <w:t>。企业投产后可</w:t>
      </w:r>
      <w:r>
        <w:rPr>
          <w:rFonts w:ascii="Times New Roman" w:hAnsi="Times New Roman" w:cs="Times New Roman"/>
          <w:color w:val="auto"/>
          <w:sz w:val="32"/>
          <w:szCs w:val="32"/>
        </w:rPr>
        <w:t>日处理干粪量约3吨外售有机肥厂。</w:t>
      </w:r>
    </w:p>
    <w:p>
      <w:pPr>
        <w:pStyle w:val="4"/>
        <w:spacing w:beforeLines="0" w:afterLines="0" w:line="570" w:lineRule="exact"/>
        <w:ind w:firstLine="641"/>
        <w:jc w:val="both"/>
        <w:rPr>
          <w:rFonts w:eastAsia="华文楷体"/>
          <w:color w:val="auto"/>
          <w:sz w:val="32"/>
          <w:szCs w:val="32"/>
        </w:rPr>
      </w:pPr>
      <w:bookmarkStart w:id="156" w:name="_Toc21845"/>
      <w:bookmarkStart w:id="157" w:name="_Toc112078540"/>
      <w:r>
        <w:rPr>
          <w:rFonts w:hint="eastAsia" w:eastAsia="华文楷体"/>
          <w:color w:val="auto"/>
          <w:sz w:val="32"/>
          <w:szCs w:val="32"/>
        </w:rPr>
        <w:t>5.2</w:t>
      </w:r>
      <w:r>
        <w:rPr>
          <w:rFonts w:hint="eastAsia" w:ascii="楷体_GB2312" w:eastAsia="楷体_GB2312"/>
          <w:color w:val="auto"/>
          <w:sz w:val="32"/>
          <w:szCs w:val="32"/>
        </w:rPr>
        <w:t>投资估算</w:t>
      </w:r>
      <w:bookmarkEnd w:id="156"/>
      <w:bookmarkEnd w:id="157"/>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拟实施重点工程投资及资金来源见表5.2-1。</w:t>
      </w:r>
    </w:p>
    <w:p>
      <w:pPr>
        <w:ind w:firstLine="0" w:firstLineChars="0"/>
        <w:jc w:val="center"/>
        <w:rPr>
          <w:color w:val="auto"/>
        </w:rPr>
      </w:pPr>
      <w:r>
        <w:rPr>
          <w:rFonts w:ascii="Times New Roman" w:hAnsi="Times New Roman" w:cs="Times New Roman"/>
          <w:b/>
          <w:bCs/>
          <w:color w:val="auto"/>
          <w:sz w:val="24"/>
        </w:rPr>
        <w:t>表5.2-1</w:t>
      </w:r>
      <w:r>
        <w:rPr>
          <w:rFonts w:hint="eastAsia"/>
          <w:b/>
          <w:bCs/>
          <w:color w:val="auto"/>
          <w:sz w:val="24"/>
        </w:rPr>
        <w:t>拟实施重点工程投资估算表</w:t>
      </w:r>
    </w:p>
    <w:tbl>
      <w:tblPr>
        <w:tblStyle w:val="29"/>
        <w:tblW w:w="8715" w:type="dxa"/>
        <w:tblInd w:w="8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5" w:type="dxa"/>
          <w:left w:w="108" w:type="dxa"/>
          <w:bottom w:w="0" w:type="dxa"/>
          <w:right w:w="5" w:type="dxa"/>
        </w:tblCellMar>
      </w:tblPr>
      <w:tblGrid>
        <w:gridCol w:w="1440"/>
        <w:gridCol w:w="1965"/>
        <w:gridCol w:w="3570"/>
        <w:gridCol w:w="17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5" w:type="dxa"/>
            <w:left w:w="108" w:type="dxa"/>
            <w:bottom w:w="0" w:type="dxa"/>
            <w:right w:w="5" w:type="dxa"/>
          </w:tblCellMar>
        </w:tblPrEx>
        <w:trPr>
          <w:trHeight w:val="454" w:hRule="atLeast"/>
        </w:trPr>
        <w:tc>
          <w:tcPr>
            <w:tcW w:w="14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项目类型</w:t>
            </w:r>
          </w:p>
        </w:tc>
        <w:tc>
          <w:tcPr>
            <w:tcW w:w="1965" w:type="dxa"/>
            <w:vAlign w:val="center"/>
          </w:tcPr>
          <w:p>
            <w:pPr>
              <w:spacing w:line="240" w:lineRule="auto"/>
              <w:ind w:firstLine="0" w:firstLineChars="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企业名称</w:t>
            </w:r>
          </w:p>
        </w:tc>
        <w:tc>
          <w:tcPr>
            <w:tcW w:w="357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建设内容</w:t>
            </w:r>
          </w:p>
        </w:tc>
        <w:tc>
          <w:tcPr>
            <w:tcW w:w="17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投资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5" w:type="dxa"/>
            <w:left w:w="108" w:type="dxa"/>
            <w:bottom w:w="0" w:type="dxa"/>
            <w:right w:w="5" w:type="dxa"/>
          </w:tblCellMar>
        </w:tblPrEx>
        <w:trPr>
          <w:trHeight w:val="454" w:hRule="atLeast"/>
        </w:trPr>
        <w:tc>
          <w:tcPr>
            <w:tcW w:w="14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生态牧场配套粪污收集和处理项目</w:t>
            </w:r>
          </w:p>
        </w:tc>
        <w:tc>
          <w:tcPr>
            <w:tcW w:w="1965"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济南佳宝乳业有限公司生态牧场分公司</w:t>
            </w:r>
          </w:p>
        </w:tc>
        <w:tc>
          <w:tcPr>
            <w:tcW w:w="357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主要建设各牛舍11座、卧床垫料棚2座、特需奶厅1座、挤奶厅1座、固液分离大棚1座、常温厌氧发酵囊3个、沼液暂存池1个，宿舍楼办公楼各1座、青贮窖6座、干草棚2座，</w:t>
            </w:r>
          </w:p>
        </w:tc>
        <w:tc>
          <w:tcPr>
            <w:tcW w:w="17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570万元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5" w:type="dxa"/>
            <w:left w:w="108" w:type="dxa"/>
            <w:bottom w:w="0" w:type="dxa"/>
            <w:right w:w="5" w:type="dxa"/>
          </w:tblCellMar>
        </w:tblPrEx>
        <w:trPr>
          <w:trHeight w:val="454" w:hRule="atLeast"/>
        </w:trPr>
        <w:tc>
          <w:tcPr>
            <w:tcW w:w="14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畜禽粪污资源化利用项目</w:t>
            </w:r>
          </w:p>
        </w:tc>
        <w:tc>
          <w:tcPr>
            <w:tcW w:w="1965"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普菲特现代智慧农业（山东）有限公司</w:t>
            </w:r>
          </w:p>
        </w:tc>
        <w:tc>
          <w:tcPr>
            <w:tcW w:w="357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干粪设备1座，配套收集及处理设施1套</w:t>
            </w:r>
          </w:p>
        </w:tc>
        <w:tc>
          <w:tcPr>
            <w:tcW w:w="17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200万元</w:t>
            </w:r>
          </w:p>
        </w:tc>
      </w:tr>
    </w:tbl>
    <w:p>
      <w:pPr>
        <w:pStyle w:val="4"/>
        <w:spacing w:beforeLines="0" w:afterLines="0" w:line="560" w:lineRule="exact"/>
        <w:ind w:firstLine="641"/>
        <w:jc w:val="both"/>
        <w:rPr>
          <w:rFonts w:hint="eastAsia" w:ascii="楷体_GB2312" w:eastAsia="楷体_GB2312"/>
          <w:color w:val="auto"/>
          <w:sz w:val="32"/>
          <w:szCs w:val="32"/>
        </w:rPr>
      </w:pPr>
      <w:bookmarkStart w:id="158" w:name="_Toc112078541"/>
      <w:bookmarkStart w:id="159" w:name="_Toc716"/>
      <w:r>
        <w:rPr>
          <w:rFonts w:hint="eastAsia" w:eastAsia="华文楷体"/>
          <w:color w:val="auto"/>
          <w:sz w:val="32"/>
          <w:szCs w:val="32"/>
        </w:rPr>
        <w:t>5.3</w:t>
      </w:r>
      <w:r>
        <w:rPr>
          <w:rFonts w:hint="eastAsia" w:ascii="楷体_GB2312" w:eastAsia="楷体_GB2312"/>
          <w:color w:val="auto"/>
          <w:sz w:val="32"/>
          <w:szCs w:val="32"/>
        </w:rPr>
        <w:t>资金筹措</w:t>
      </w:r>
      <w:bookmarkEnd w:id="158"/>
      <w:bookmarkEnd w:id="159"/>
    </w:p>
    <w:p>
      <w:pPr>
        <w:widowControl w:val="0"/>
        <w:spacing w:line="560" w:lineRule="exact"/>
        <w:ind w:firstLine="640"/>
        <w:jc w:val="both"/>
        <w:rPr>
          <w:color w:val="auto"/>
          <w:sz w:val="32"/>
          <w:szCs w:val="32"/>
        </w:rPr>
        <w:sectPr>
          <w:headerReference r:id="rId25" w:type="default"/>
          <w:footerReference r:id="rId26" w:type="default"/>
          <w:pgSz w:w="11906" w:h="16838"/>
          <w:pgMar w:top="1814" w:right="1474" w:bottom="1701" w:left="1587" w:header="720" w:footer="1304" w:gutter="0"/>
          <w:cols w:space="0" w:num="1"/>
          <w:docGrid w:linePitch="381" w:charSpace="0"/>
        </w:sectPr>
      </w:pPr>
      <w:r>
        <w:rPr>
          <w:rFonts w:hint="eastAsia"/>
          <w:color w:val="auto"/>
          <w:sz w:val="32"/>
          <w:szCs w:val="32"/>
        </w:rPr>
        <w:t>目前长清区畜禽养殖污染防治项目重点工程的资金来源主要是养殖场户自筹。企业可通过积极争取政府财政支持，以及逐步探索粪污资源化、市场化运作引入第三方投入资金，实现污染防治和企业发展双赢。</w:t>
      </w:r>
    </w:p>
    <w:p>
      <w:pPr>
        <w:pStyle w:val="3"/>
        <w:keepNext w:val="0"/>
        <w:keepLines w:val="0"/>
        <w:widowControl w:val="0"/>
        <w:spacing w:after="0" w:line="580" w:lineRule="exact"/>
        <w:ind w:left="0" w:right="0" w:firstLine="643"/>
        <w:jc w:val="both"/>
        <w:rPr>
          <w:rFonts w:ascii="Times New Roman" w:hAnsi="Times New Roman" w:eastAsia="黑体" w:cs="Times New Roman"/>
          <w:b/>
          <w:color w:val="auto"/>
          <w:kern w:val="44"/>
          <w:sz w:val="32"/>
          <w:szCs w:val="32"/>
          <w:lang w:val="en-GB"/>
        </w:rPr>
      </w:pPr>
      <w:bookmarkStart w:id="160" w:name="_Toc24527"/>
      <w:r>
        <w:rPr>
          <w:rFonts w:hint="eastAsia" w:ascii="Times New Roman" w:hAnsi="Times New Roman" w:eastAsia="黑体" w:cs="Times New Roman"/>
          <w:b/>
          <w:color w:val="auto"/>
          <w:kern w:val="44"/>
          <w:sz w:val="32"/>
          <w:szCs w:val="32"/>
        </w:rPr>
        <w:t>6</w:t>
      </w:r>
      <w:r>
        <w:rPr>
          <w:rFonts w:hint="eastAsia" w:ascii="Times New Roman" w:hAnsi="Times New Roman" w:eastAsia="黑体" w:cs="Times New Roman"/>
          <w:b/>
          <w:color w:val="auto"/>
          <w:kern w:val="44"/>
          <w:sz w:val="32"/>
          <w:szCs w:val="32"/>
          <w:lang w:val="en-GB"/>
        </w:rPr>
        <w:t>效益分析</w:t>
      </w:r>
      <w:bookmarkEnd w:id="160"/>
    </w:p>
    <w:p>
      <w:pPr>
        <w:pStyle w:val="4"/>
        <w:spacing w:beforeLines="0" w:afterLines="0" w:line="580" w:lineRule="exact"/>
        <w:ind w:firstLine="641"/>
        <w:jc w:val="both"/>
        <w:rPr>
          <w:rFonts w:hint="eastAsia" w:ascii="楷体_GB2312" w:eastAsia="楷体_GB2312"/>
          <w:color w:val="auto"/>
          <w:sz w:val="32"/>
          <w:szCs w:val="32"/>
        </w:rPr>
      </w:pPr>
      <w:bookmarkStart w:id="161" w:name="_Toc31872"/>
      <w:r>
        <w:rPr>
          <w:rFonts w:hint="eastAsia" w:eastAsia="华文楷体"/>
          <w:color w:val="auto"/>
          <w:sz w:val="32"/>
          <w:szCs w:val="32"/>
        </w:rPr>
        <w:t>6.1</w:t>
      </w:r>
      <w:r>
        <w:rPr>
          <w:rFonts w:hint="eastAsia" w:ascii="楷体_GB2312" w:eastAsia="楷体_GB2312"/>
          <w:color w:val="auto"/>
          <w:sz w:val="32"/>
          <w:szCs w:val="32"/>
        </w:rPr>
        <w:t>经济效益</w:t>
      </w:r>
      <w:bookmarkEnd w:id="161"/>
    </w:p>
    <w:p>
      <w:pPr>
        <w:widowControl w:val="0"/>
        <w:spacing w:line="580" w:lineRule="exact"/>
        <w:ind w:firstLine="643"/>
        <w:jc w:val="both"/>
        <w:rPr>
          <w:rFonts w:ascii="Times New Roman" w:hAnsi="Times New Roman" w:cs="Times New Roman"/>
          <w:color w:val="auto"/>
          <w:sz w:val="32"/>
          <w:szCs w:val="32"/>
        </w:rPr>
      </w:pPr>
      <w:r>
        <w:rPr>
          <w:rFonts w:ascii="Times New Roman" w:hAnsi="Times New Roman" w:cs="Times New Roman"/>
          <w:b/>
          <w:bCs/>
          <w:color w:val="auto"/>
          <w:sz w:val="32"/>
          <w:szCs w:val="32"/>
        </w:rPr>
        <w:t>1.</w:t>
      </w:r>
      <w:r>
        <w:rPr>
          <w:rFonts w:ascii="Times New Roman" w:hAnsi="Times New Roman" w:cs="Times New Roman"/>
          <w:color w:val="auto"/>
          <w:sz w:val="32"/>
          <w:szCs w:val="32"/>
        </w:rPr>
        <w:t>促进畜禽养殖产业发展。规划实施后，能够有效推进长清区畜禽养殖行业生态化、规模化、集约化转型，带动企业引进先进技术，舍弃落后养殖方式。畜禽粪污集中处理项目的实施，将促进废弃物综合利用和产业链有效延伸，能够有效促进长清区畜禽养殖产业经济发展。</w:t>
      </w:r>
    </w:p>
    <w:p>
      <w:pPr>
        <w:pStyle w:val="18"/>
        <w:widowControl w:val="0"/>
        <w:spacing w:line="580" w:lineRule="exact"/>
        <w:ind w:firstLine="643"/>
        <w:jc w:val="both"/>
        <w:rPr>
          <w:rFonts w:hAnsi="Times New Roman" w:cs="Times New Roman"/>
          <w:b w:val="0"/>
          <w:bCs w:val="0"/>
          <w:color w:val="auto"/>
          <w:sz w:val="32"/>
          <w:szCs w:val="32"/>
        </w:rPr>
      </w:pPr>
      <w:r>
        <w:rPr>
          <w:rFonts w:hAnsi="Times New Roman" w:cs="Times New Roman"/>
          <w:color w:val="auto"/>
          <w:sz w:val="32"/>
          <w:szCs w:val="32"/>
        </w:rPr>
        <w:t>2.</w:t>
      </w:r>
      <w:r>
        <w:rPr>
          <w:rFonts w:hAnsi="Times New Roman" w:cs="Times New Roman"/>
          <w:b w:val="0"/>
          <w:bCs w:val="0"/>
          <w:color w:val="auto"/>
          <w:sz w:val="32"/>
          <w:szCs w:val="32"/>
        </w:rPr>
        <w:t>促进农业绿色发展。在落实严格环境准入、强化污染源头管控、加强技术引导示范、推行清洁养殖方式等措施的同时，粪污堆积发酵处理还田、异位生物发酵、沼气池厌氧发酵处理、种养循环等模式推广，促进粪污利用化、环境友好化、化肥减量化、还田市场化、模式机制化，有力推动了农业绿色低碳发展，实现农业的绿色高质量发展，推动农产品向优质、高端方向转型升级。提高农产品品质和价值，提升产业综合效益，拓宽创收渠道，增加地方财政收入，带动农民致富。</w:t>
      </w:r>
    </w:p>
    <w:p>
      <w:pPr>
        <w:pStyle w:val="4"/>
        <w:spacing w:beforeLines="0" w:afterLines="0" w:line="580" w:lineRule="exact"/>
        <w:ind w:firstLine="641"/>
        <w:jc w:val="both"/>
        <w:rPr>
          <w:rFonts w:eastAsia="华文楷体"/>
          <w:color w:val="auto"/>
          <w:sz w:val="32"/>
          <w:szCs w:val="32"/>
        </w:rPr>
      </w:pPr>
      <w:bookmarkStart w:id="162" w:name="_Toc8054"/>
      <w:r>
        <w:rPr>
          <w:rFonts w:hint="eastAsia" w:eastAsia="华文楷体"/>
          <w:color w:val="auto"/>
          <w:sz w:val="32"/>
          <w:szCs w:val="32"/>
        </w:rPr>
        <w:t>6.</w:t>
      </w:r>
      <w:r>
        <w:rPr>
          <w:rFonts w:eastAsia="华文楷体"/>
          <w:color w:val="auto"/>
          <w:sz w:val="32"/>
          <w:szCs w:val="32"/>
        </w:rPr>
        <w:t>2</w:t>
      </w:r>
      <w:r>
        <w:rPr>
          <w:rFonts w:hint="eastAsia" w:ascii="楷体_GB2312" w:eastAsia="楷体_GB2312"/>
          <w:color w:val="auto"/>
          <w:sz w:val="32"/>
          <w:szCs w:val="32"/>
        </w:rPr>
        <w:t>环境效益</w:t>
      </w:r>
      <w:bookmarkEnd w:id="162"/>
    </w:p>
    <w:p>
      <w:pPr>
        <w:widowControl w:val="0"/>
        <w:spacing w:line="580" w:lineRule="exact"/>
        <w:ind w:firstLine="643"/>
        <w:jc w:val="both"/>
        <w:rPr>
          <w:rFonts w:ascii="Times New Roman" w:hAnsi="Times New Roman" w:cs="Times New Roman"/>
          <w:color w:val="auto"/>
          <w:sz w:val="32"/>
          <w:szCs w:val="32"/>
        </w:rPr>
      </w:pPr>
      <w:r>
        <w:rPr>
          <w:rFonts w:ascii="Times New Roman" w:hAnsi="Times New Roman" w:cs="Times New Roman"/>
          <w:b/>
          <w:bCs/>
          <w:color w:val="auto"/>
          <w:sz w:val="32"/>
          <w:szCs w:val="32"/>
        </w:rPr>
        <w:t>1.</w:t>
      </w:r>
      <w:r>
        <w:rPr>
          <w:rFonts w:ascii="Times New Roman" w:hAnsi="Times New Roman" w:cs="Times New Roman"/>
          <w:color w:val="auto"/>
          <w:sz w:val="32"/>
          <w:szCs w:val="32"/>
        </w:rPr>
        <w:t>改善生态环境质量。通过实施粪污集中处理和资源化利用，可减少臭气排放量，减少化肥、农药的施用量；通过加强畜禽养殖粪污综合利用和日常监管，杜绝粪污溢流污染水体。通过建立粪污资源化利用计划和台账，确保粪污去向可追溯；通过养殖场（户）配套土地面积的测算，严控粪肥超量施用。规划的实施可有效控制农业面源污染，改善区域环境质量。各类政策补贴和技术示范工程将继续发挥积极的引导、带动和辐射作用，提高养殖企业和</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自发治污减排的积极性，促进畜禽养殖业污染减排工作持续深入开展，巩固减排工作成效。</w:t>
      </w:r>
    </w:p>
    <w:p>
      <w:pPr>
        <w:widowControl w:val="0"/>
        <w:spacing w:line="580" w:lineRule="exact"/>
        <w:ind w:firstLine="643"/>
        <w:jc w:val="both"/>
        <w:rPr>
          <w:rFonts w:ascii="Times New Roman" w:hAnsi="Times New Roman" w:cs="Times New Roman"/>
          <w:color w:val="auto"/>
          <w:sz w:val="32"/>
          <w:szCs w:val="32"/>
        </w:rPr>
      </w:pPr>
      <w:r>
        <w:rPr>
          <w:rFonts w:ascii="Times New Roman" w:hAnsi="Times New Roman" w:cs="Times New Roman"/>
          <w:b/>
          <w:bCs/>
          <w:color w:val="auto"/>
          <w:sz w:val="32"/>
          <w:szCs w:val="32"/>
        </w:rPr>
        <w:t>2.</w:t>
      </w:r>
      <w:r>
        <w:rPr>
          <w:rFonts w:ascii="Times New Roman" w:hAnsi="Times New Roman" w:cs="Times New Roman"/>
          <w:color w:val="auto"/>
          <w:sz w:val="32"/>
          <w:szCs w:val="32"/>
        </w:rPr>
        <w:t>提升耕地质量。通过实施畜禽养殖废弃物综合利用项目，施用有机肥，可有效提升土壤有机质含量，增加土壤养分含量，增强土壤微生物活力，改善土壤结构，提升耕地质量，促进农田永续利用。</w:t>
      </w:r>
    </w:p>
    <w:p>
      <w:pPr>
        <w:pStyle w:val="4"/>
        <w:spacing w:beforeLines="0" w:afterLines="0" w:line="580" w:lineRule="exact"/>
        <w:ind w:firstLine="641"/>
        <w:jc w:val="both"/>
        <w:rPr>
          <w:rFonts w:eastAsia="华文楷体"/>
          <w:color w:val="auto"/>
          <w:sz w:val="32"/>
          <w:szCs w:val="32"/>
        </w:rPr>
      </w:pPr>
      <w:bookmarkStart w:id="163" w:name="_Toc20196"/>
      <w:r>
        <w:rPr>
          <w:rFonts w:hint="eastAsia" w:eastAsia="华文楷体"/>
          <w:color w:val="auto"/>
          <w:sz w:val="32"/>
          <w:szCs w:val="32"/>
        </w:rPr>
        <w:t>6.</w:t>
      </w:r>
      <w:r>
        <w:rPr>
          <w:rFonts w:eastAsia="华文楷体"/>
          <w:color w:val="auto"/>
          <w:sz w:val="32"/>
          <w:szCs w:val="32"/>
        </w:rPr>
        <w:t>3</w:t>
      </w:r>
      <w:r>
        <w:rPr>
          <w:rFonts w:hint="eastAsia" w:ascii="楷体_GB2312" w:eastAsia="楷体_GB2312"/>
          <w:color w:val="auto"/>
          <w:sz w:val="32"/>
          <w:szCs w:val="32"/>
        </w:rPr>
        <w:t>社会效益</w:t>
      </w:r>
      <w:bookmarkEnd w:id="163"/>
    </w:p>
    <w:p>
      <w:pPr>
        <w:widowControl w:val="0"/>
        <w:spacing w:line="580" w:lineRule="exact"/>
        <w:ind w:firstLine="643"/>
        <w:jc w:val="both"/>
        <w:rPr>
          <w:rFonts w:ascii="Times New Roman" w:hAnsi="Times New Roman" w:cs="Times New Roman"/>
          <w:color w:val="auto"/>
          <w:sz w:val="32"/>
          <w:szCs w:val="32"/>
        </w:rPr>
      </w:pPr>
      <w:r>
        <w:rPr>
          <w:rFonts w:ascii="Times New Roman" w:hAnsi="Times New Roman" w:cs="Times New Roman"/>
          <w:b/>
          <w:bCs/>
          <w:color w:val="auto"/>
          <w:sz w:val="32"/>
          <w:szCs w:val="32"/>
        </w:rPr>
        <w:t>1.</w:t>
      </w:r>
      <w:r>
        <w:rPr>
          <w:rFonts w:ascii="Times New Roman" w:hAnsi="Times New Roman" w:cs="Times New Roman"/>
          <w:color w:val="auto"/>
          <w:sz w:val="32"/>
          <w:szCs w:val="32"/>
        </w:rPr>
        <w:t>改善区域人居环境。规划实施推动养殖粪污全面的收集和有效的处理处置，提升了地区生态环境污染协调控制能力，减少了各养殖场对周边农户生产、生活的影响，改善各养殖场（户）与周边群众的关系，将群众传统印象中养殖场“脏、臭、差、污染大户”的形象转变成“整洁、有序、卫生、环保、生态”新印象。畜禽粪污集中处理项目的实施和区域收转运体系的完善，将进一步提升畜禽粪污资源化利用率，解决</w:t>
      </w:r>
      <w:r>
        <w:rPr>
          <w:rFonts w:hint="eastAsia" w:ascii="Times New Roman" w:hAnsi="Times New Roman" w:cs="Times New Roman"/>
          <w:color w:val="auto"/>
          <w:sz w:val="32"/>
          <w:szCs w:val="32"/>
        </w:rPr>
        <w:t>专业户</w:t>
      </w:r>
      <w:r>
        <w:rPr>
          <w:rFonts w:ascii="Times New Roman" w:hAnsi="Times New Roman" w:cs="Times New Roman"/>
          <w:color w:val="auto"/>
          <w:sz w:val="32"/>
          <w:szCs w:val="32"/>
        </w:rPr>
        <w:t>粪污处理难、露天堆放的问题，推动人居环境改善，推动美丽乡村建设。</w:t>
      </w:r>
    </w:p>
    <w:p>
      <w:pPr>
        <w:widowControl w:val="0"/>
        <w:spacing w:line="580" w:lineRule="exact"/>
        <w:ind w:firstLine="643"/>
        <w:jc w:val="both"/>
        <w:rPr>
          <w:rFonts w:ascii="Times New Roman" w:hAnsi="Times New Roman" w:cs="Times New Roman"/>
          <w:color w:val="auto"/>
          <w:sz w:val="32"/>
          <w:szCs w:val="32"/>
        </w:rPr>
        <w:sectPr>
          <w:pgSz w:w="11906" w:h="16838"/>
          <w:pgMar w:top="1985" w:right="1531" w:bottom="1814" w:left="1531" w:header="720" w:footer="1304" w:gutter="0"/>
          <w:cols w:space="0" w:num="1"/>
          <w:docGrid w:linePitch="381" w:charSpace="0"/>
        </w:sectPr>
      </w:pPr>
      <w:r>
        <w:rPr>
          <w:rFonts w:ascii="Times New Roman" w:hAnsi="Times New Roman" w:cs="Times New Roman"/>
          <w:b/>
          <w:bCs/>
          <w:color w:val="auto"/>
          <w:sz w:val="32"/>
          <w:szCs w:val="32"/>
        </w:rPr>
        <w:t>2.</w:t>
      </w:r>
      <w:r>
        <w:rPr>
          <w:rFonts w:ascii="Times New Roman" w:hAnsi="Times New Roman" w:cs="Times New Roman"/>
          <w:color w:val="auto"/>
          <w:sz w:val="32"/>
          <w:szCs w:val="32"/>
        </w:rPr>
        <w:t>改善农村产业发展质量。畜禽粪污集中处理项目的实施，</w:t>
      </w:r>
      <w:r>
        <w:rPr>
          <w:rFonts w:hint="eastAsia" w:ascii="Times New Roman" w:hAnsi="Times New Roman" w:cs="Times New Roman"/>
          <w:color w:val="auto"/>
          <w:sz w:val="32"/>
          <w:szCs w:val="32"/>
        </w:rPr>
        <w:t>引进大型企业、社会资本投入规模化养殖，</w:t>
      </w:r>
      <w:r>
        <w:rPr>
          <w:rFonts w:ascii="Times New Roman" w:hAnsi="Times New Roman" w:cs="Times New Roman"/>
          <w:color w:val="auto"/>
          <w:sz w:val="32"/>
          <w:szCs w:val="32"/>
        </w:rPr>
        <w:t>为社会提供一定量的就业岗位，缓解社会就业压力，增加农民收入来源。种养循环模式的推广，带动周边养殖业、种植业有机结合，促进农业绿色发展，改善农村产业发展质量。</w:t>
      </w:r>
    </w:p>
    <w:p>
      <w:pPr>
        <w:pStyle w:val="3"/>
        <w:keepNext w:val="0"/>
        <w:keepLines w:val="0"/>
        <w:widowControl w:val="0"/>
        <w:spacing w:after="0" w:line="570" w:lineRule="exact"/>
        <w:ind w:left="0" w:right="0" w:firstLine="643"/>
        <w:jc w:val="both"/>
        <w:rPr>
          <w:rFonts w:ascii="Times New Roman" w:hAnsi="Times New Roman" w:eastAsia="黑体" w:cs="Times New Roman"/>
          <w:b/>
          <w:color w:val="auto"/>
          <w:kern w:val="44"/>
          <w:sz w:val="32"/>
          <w:szCs w:val="32"/>
          <w:lang w:val="en-GB"/>
        </w:rPr>
      </w:pPr>
      <w:bookmarkStart w:id="164" w:name="_Toc11606"/>
      <w:r>
        <w:rPr>
          <w:rFonts w:hint="eastAsia" w:ascii="Times New Roman" w:hAnsi="Times New Roman" w:eastAsia="黑体" w:cs="Times New Roman"/>
          <w:b/>
          <w:color w:val="auto"/>
          <w:kern w:val="44"/>
          <w:sz w:val="32"/>
          <w:szCs w:val="32"/>
        </w:rPr>
        <w:t>7</w:t>
      </w:r>
      <w:r>
        <w:rPr>
          <w:rFonts w:ascii="Times New Roman" w:hAnsi="Times New Roman" w:eastAsia="黑体" w:cs="Times New Roman"/>
          <w:b/>
          <w:color w:val="auto"/>
          <w:kern w:val="44"/>
          <w:sz w:val="32"/>
          <w:szCs w:val="32"/>
          <w:lang w:val="en-GB"/>
        </w:rPr>
        <w:t>保障措施</w:t>
      </w:r>
      <w:bookmarkEnd w:id="164"/>
    </w:p>
    <w:p>
      <w:pPr>
        <w:pStyle w:val="4"/>
        <w:spacing w:beforeLines="0" w:afterLines="0" w:line="570" w:lineRule="exact"/>
        <w:ind w:firstLine="641"/>
        <w:jc w:val="both"/>
        <w:rPr>
          <w:rFonts w:eastAsia="华文楷体"/>
          <w:color w:val="auto"/>
          <w:sz w:val="32"/>
          <w:szCs w:val="32"/>
        </w:rPr>
      </w:pPr>
      <w:bookmarkStart w:id="165" w:name="_Toc27327"/>
      <w:r>
        <w:rPr>
          <w:rFonts w:hint="eastAsia" w:eastAsia="华文楷体"/>
          <w:color w:val="auto"/>
          <w:sz w:val="32"/>
          <w:szCs w:val="32"/>
        </w:rPr>
        <w:t>7.1</w:t>
      </w:r>
      <w:r>
        <w:rPr>
          <w:rFonts w:hint="eastAsia" w:ascii="楷体_GB2312" w:eastAsia="楷体_GB2312"/>
          <w:color w:val="auto"/>
          <w:sz w:val="32"/>
          <w:szCs w:val="32"/>
        </w:rPr>
        <w:t>加强组织领导，细化责任分工</w:t>
      </w:r>
      <w:bookmarkEnd w:id="165"/>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加强对畜禽养殖污染防治工作的组织领导，加强污染防治工作协调，建立有效的部门沟通协作机制，按照部门职责分工，分解落实畜禽养殖污染防治任务，实现资源和信息共享，形成部门合力。开展养殖生产、粪污处理的培训指导，将畜禽养殖污染防治任务完成情况作为政府年度目标责任考核的重要内容，明确目标任务，落实防治工作责任。</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生态环境部门要切实履行生态环境监管职能，建立完善长效监管机制；农业农村局要切实做好技术指导与服务；国土资源和规划部门要配合制定扶持政策，优先保障异地搬迁的养殖企业用地；畜牧兽医事业发展中心扎实做好畜禽养殖废弃物综合利用工作，健全档案管理，严格落实街镇畜牧兽医站工作人员网格化管理，责任到场、到户、到村，督促其不定期巡查</w:t>
      </w:r>
      <w:r>
        <w:rPr>
          <w:rFonts w:hint="eastAsia" w:ascii="Times New Roman" w:hAnsi="Times New Roman" w:cs="Times New Roman"/>
          <w:color w:val="auto"/>
          <w:sz w:val="32"/>
          <w:szCs w:val="32"/>
        </w:rPr>
        <w:t>；各</w:t>
      </w:r>
      <w:r>
        <w:rPr>
          <w:rFonts w:hint="eastAsia"/>
          <w:color w:val="auto"/>
          <w:sz w:val="32"/>
          <w:szCs w:val="32"/>
        </w:rPr>
        <w:t>镇街政府负责对本行政区域内畜禽养殖污染治理设施建设与运行情况进行监督管理，协助有关部门做好本辖区的畜禽养殖污染防治工作</w:t>
      </w:r>
      <w:r>
        <w:rPr>
          <w:rFonts w:hint="eastAsia" w:ascii="Times New Roman" w:hAnsi="Times New Roman" w:cs="Times New Roman"/>
          <w:color w:val="auto"/>
          <w:sz w:val="32"/>
          <w:szCs w:val="32"/>
        </w:rPr>
        <w:t>；</w:t>
      </w:r>
      <w:r>
        <w:rPr>
          <w:rFonts w:hint="eastAsia" w:ascii="仿宋_GB2312" w:hAnsi="Times New Roman"/>
          <w:color w:val="auto"/>
          <w:sz w:val="32"/>
          <w:szCs w:val="32"/>
        </w:rPr>
        <w:t>各村居可以制定和实施有关畜禽养殖废弃物处置等村规民约，对本村居民开展畜禽养殖污染防治的宣传教育，发现畜禽养殖污染环境的，应当及时制止并向生态环境部门报告。</w:t>
      </w:r>
      <w:r>
        <w:rPr>
          <w:rFonts w:hint="eastAsia" w:ascii="仿宋_GB2312" w:hAnsi="Times New Roman" w:cs="Times New Roman"/>
          <w:color w:val="auto"/>
          <w:sz w:val="32"/>
          <w:szCs w:val="32"/>
        </w:rPr>
        <w:t>通</w:t>
      </w:r>
      <w:r>
        <w:rPr>
          <w:rFonts w:hint="eastAsia" w:ascii="Times New Roman" w:hAnsi="Times New Roman" w:cs="Times New Roman"/>
          <w:color w:val="auto"/>
          <w:sz w:val="32"/>
          <w:szCs w:val="32"/>
        </w:rPr>
        <w:t>过自然资源、农业农村、生态环境、各街镇协同合作</w:t>
      </w:r>
      <w:r>
        <w:rPr>
          <w:rFonts w:ascii="Times New Roman" w:hAnsi="Times New Roman" w:cs="Times New Roman"/>
          <w:color w:val="auto"/>
          <w:sz w:val="32"/>
          <w:szCs w:val="32"/>
        </w:rPr>
        <w:t>，建立政策扶持机制，有效推进畜禽养殖产业稳定运行。</w:t>
      </w:r>
    </w:p>
    <w:p>
      <w:pPr>
        <w:pStyle w:val="4"/>
        <w:spacing w:beforeLines="0" w:afterLines="0" w:line="570" w:lineRule="exact"/>
        <w:ind w:firstLine="641"/>
        <w:jc w:val="both"/>
        <w:rPr>
          <w:rFonts w:hint="eastAsia" w:ascii="楷体_GB2312" w:eastAsia="楷体_GB2312"/>
          <w:color w:val="auto"/>
          <w:sz w:val="32"/>
          <w:szCs w:val="32"/>
        </w:rPr>
      </w:pPr>
      <w:bookmarkStart w:id="166" w:name="_Toc2936"/>
      <w:r>
        <w:rPr>
          <w:rFonts w:hint="eastAsia" w:eastAsia="华文楷体"/>
          <w:color w:val="auto"/>
          <w:sz w:val="32"/>
          <w:szCs w:val="32"/>
        </w:rPr>
        <w:t>7.2</w:t>
      </w:r>
      <w:r>
        <w:rPr>
          <w:rFonts w:hint="eastAsia" w:ascii="楷体_GB2312" w:eastAsia="楷体_GB2312"/>
          <w:color w:val="auto"/>
          <w:sz w:val="32"/>
          <w:szCs w:val="32"/>
        </w:rPr>
        <w:t>提升政策扶持，优化技术指导</w:t>
      </w:r>
      <w:bookmarkEnd w:id="166"/>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逐步加大对畜禽养殖污染防治工作的资金投入和技术支持，加大对生态畜牧业建设的政策扶持，充分运用税收、信贷、价格等经济手段，吸引社会资金投入畜禽养殖污染防治。鼓励社会资本与政府、金融机构开展合作，充分发挥社会资本市场化、专业化等优势。统筹整合涉农资金，充分发挥财政资金的引导作用，大胆创新，鼓励支持大型规模养殖场改造提升高标准畜禽养殖废弃物综合利用施。</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遵循综合利用优先，减量化、无害化和资源化的原则，通过科学饲养和管理降低畜禽排泄物的污染，充分发挥利用废弃物的肥力、能量资源，开拓一条资源开发和废弃物处置相结合的道路。建议出台更多的相关鼓励政策，推进畜禽废弃物资源化利用。</w:t>
      </w:r>
    </w:p>
    <w:p>
      <w:pPr>
        <w:widowControl w:val="0"/>
        <w:spacing w:line="570" w:lineRule="exact"/>
        <w:ind w:firstLine="640"/>
        <w:jc w:val="both"/>
        <w:rPr>
          <w:rFonts w:ascii="Times New Roman" w:hAnsi="Times New Roman" w:cs="Times New Roman"/>
          <w:color w:val="auto"/>
          <w:sz w:val="32"/>
          <w:szCs w:val="32"/>
        </w:rPr>
      </w:pPr>
      <w:r>
        <w:rPr>
          <w:rFonts w:ascii="Times New Roman" w:hAnsi="Times New Roman" w:cs="Times New Roman"/>
          <w:color w:val="auto"/>
          <w:sz w:val="32"/>
          <w:szCs w:val="32"/>
        </w:rPr>
        <w:t>加大对技术研发的投入和政策支持，鼓励企业与高校、科研院所合作，创新畜禽养殖污染防治的新方法、新途径。大力发展现代化生态畜牧业，积极推广畜牧业与种植业相结合的良性循环发展模式，合理布局种植和养殖业，引导并牵线搭桥实施养殖企业与种植企业的有机合作，实现共赢。</w:t>
      </w:r>
    </w:p>
    <w:p>
      <w:pPr>
        <w:pStyle w:val="4"/>
        <w:spacing w:beforeLines="0" w:afterLines="0" w:line="570" w:lineRule="exact"/>
        <w:ind w:firstLine="641"/>
        <w:jc w:val="both"/>
        <w:rPr>
          <w:rFonts w:hint="eastAsia" w:ascii="楷体_GB2312" w:eastAsia="楷体_GB2312"/>
          <w:color w:val="auto"/>
          <w:sz w:val="32"/>
          <w:szCs w:val="32"/>
        </w:rPr>
      </w:pPr>
      <w:bookmarkStart w:id="167" w:name="_Toc13540"/>
      <w:r>
        <w:rPr>
          <w:rFonts w:hint="eastAsia" w:eastAsia="华文楷体"/>
          <w:color w:val="auto"/>
          <w:sz w:val="32"/>
          <w:szCs w:val="32"/>
        </w:rPr>
        <w:t>7.</w:t>
      </w:r>
      <w:r>
        <w:rPr>
          <w:rFonts w:eastAsia="华文楷体"/>
          <w:color w:val="auto"/>
          <w:sz w:val="32"/>
          <w:szCs w:val="32"/>
        </w:rPr>
        <w:t>3</w:t>
      </w:r>
      <w:r>
        <w:rPr>
          <w:rFonts w:hint="eastAsia" w:ascii="楷体_GB2312" w:eastAsia="楷体_GB2312"/>
          <w:color w:val="auto"/>
          <w:sz w:val="32"/>
          <w:szCs w:val="32"/>
        </w:rPr>
        <w:t>充分宣传教育，引导公众参与</w:t>
      </w:r>
      <w:bookmarkEnd w:id="167"/>
    </w:p>
    <w:p>
      <w:pPr>
        <w:widowControl w:val="0"/>
        <w:spacing w:line="570" w:lineRule="exact"/>
        <w:ind w:firstLine="64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借助</w:t>
      </w:r>
      <w:r>
        <w:rPr>
          <w:rFonts w:ascii="Times New Roman" w:hAnsi="Times New Roman" w:cs="Times New Roman"/>
          <w:color w:val="auto"/>
          <w:sz w:val="32"/>
          <w:szCs w:val="32"/>
        </w:rPr>
        <w:t>电视、广播、微博、微信等不同媒介，开展畜禽养殖污染防治工作的宣传教育，</w:t>
      </w:r>
      <w:r>
        <w:rPr>
          <w:rFonts w:hint="eastAsia" w:ascii="Times New Roman" w:hAnsi="Times New Roman" w:cs="Times New Roman"/>
          <w:color w:val="auto"/>
          <w:sz w:val="32"/>
          <w:szCs w:val="32"/>
        </w:rPr>
        <w:t>调动</w:t>
      </w:r>
      <w:r>
        <w:rPr>
          <w:rFonts w:ascii="Times New Roman" w:hAnsi="Times New Roman" w:cs="Times New Roman"/>
          <w:color w:val="auto"/>
          <w:sz w:val="32"/>
          <w:szCs w:val="32"/>
        </w:rPr>
        <w:t>养殖场户和广大群众参与污染防治的积极性和主动性，营造良好的舆论氛围。</w:t>
      </w:r>
      <w:r>
        <w:rPr>
          <w:rFonts w:hint="eastAsia"/>
          <w:color w:val="auto"/>
          <w:sz w:val="32"/>
          <w:szCs w:val="32"/>
        </w:rPr>
        <w:t>及时总结畜禽养殖污染防治典型案例、典型模式方法、</w:t>
      </w:r>
      <w:r>
        <w:rPr>
          <w:rFonts w:ascii="Times New Roman" w:hAnsi="Times New Roman" w:cs="Times New Roman"/>
          <w:color w:val="auto"/>
          <w:sz w:val="32"/>
          <w:szCs w:val="32"/>
        </w:rPr>
        <w:t>扶持政策</w:t>
      </w:r>
      <w:r>
        <w:rPr>
          <w:rFonts w:hint="eastAsia"/>
          <w:color w:val="auto"/>
          <w:sz w:val="32"/>
          <w:szCs w:val="32"/>
        </w:rPr>
        <w:t>，</w:t>
      </w:r>
      <w:r>
        <w:rPr>
          <w:rFonts w:ascii="Times New Roman" w:hAnsi="Times New Roman" w:cs="Times New Roman"/>
          <w:color w:val="auto"/>
          <w:sz w:val="32"/>
          <w:szCs w:val="32"/>
        </w:rPr>
        <w:t>通过推介宣传、现场观摩、</w:t>
      </w:r>
      <w:r>
        <w:rPr>
          <w:rFonts w:hint="eastAsia" w:ascii="Times New Roman" w:hAnsi="Times New Roman" w:cs="Times New Roman"/>
          <w:color w:val="auto"/>
          <w:sz w:val="32"/>
          <w:szCs w:val="32"/>
        </w:rPr>
        <w:t>组织</w:t>
      </w:r>
      <w:r>
        <w:rPr>
          <w:rFonts w:ascii="Times New Roman" w:hAnsi="Times New Roman" w:cs="Times New Roman"/>
          <w:color w:val="auto"/>
          <w:sz w:val="32"/>
          <w:szCs w:val="32"/>
        </w:rPr>
        <w:t>培训等</w:t>
      </w:r>
      <w:r>
        <w:rPr>
          <w:rFonts w:hint="eastAsia"/>
          <w:color w:val="auto"/>
          <w:sz w:val="32"/>
          <w:szCs w:val="32"/>
        </w:rPr>
        <w:t>加快推广应用，提高从业人员污染治理技术水平和污染防治意识。</w:t>
      </w:r>
    </w:p>
    <w:p>
      <w:pPr>
        <w:ind w:firstLine="560"/>
        <w:rPr>
          <w:rFonts w:ascii="Times New Roman" w:hAnsi="Times New Roman" w:cs="Times New Roman"/>
          <w:color w:val="auto"/>
        </w:rPr>
        <w:sectPr>
          <w:footerReference r:id="rId27" w:type="default"/>
          <w:pgSz w:w="11906" w:h="16838"/>
          <w:pgMar w:top="1814" w:right="1474" w:bottom="1701" w:left="1587" w:header="720" w:footer="1304" w:gutter="0"/>
          <w:cols w:space="0" w:num="1"/>
          <w:docGrid w:linePitch="381" w:charSpace="0"/>
        </w:sectPr>
      </w:pPr>
    </w:p>
    <w:p>
      <w:pPr>
        <w:pStyle w:val="25"/>
        <w:tabs>
          <w:tab w:val="right" w:leader="dot" w:pos="8835"/>
        </w:tabs>
        <w:spacing w:after="0" w:line="240" w:lineRule="auto"/>
        <w:ind w:left="0"/>
        <w:rPr>
          <w:rFonts w:ascii="Times New Roman" w:hAnsi="Times New Roman" w:eastAsia="仿宋_GB2312"/>
          <w:sz w:val="28"/>
          <w:szCs w:val="28"/>
        </w:rPr>
      </w:pPr>
      <w:r>
        <w:rPr>
          <w:rFonts w:ascii="Times New Roman" w:hAnsi="Times New Roman" w:eastAsia="仿宋_GB2312"/>
          <w:sz w:val="28"/>
          <w:szCs w:val="28"/>
        </w:rPr>
        <w:t>附表1：长清区畜禽规模养殖场基本情况表</w:t>
      </w:r>
    </w:p>
    <w:tbl>
      <w:tblPr>
        <w:tblStyle w:val="29"/>
        <w:tblW w:w="144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290"/>
        <w:gridCol w:w="2810"/>
        <w:gridCol w:w="1710"/>
        <w:gridCol w:w="780"/>
        <w:gridCol w:w="1020"/>
        <w:gridCol w:w="1119"/>
        <w:gridCol w:w="1331"/>
        <w:gridCol w:w="1253"/>
        <w:gridCol w:w="1335"/>
        <w:gridCol w:w="1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序号</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镇街区</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养殖场名称</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地址</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养殖畜种</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设计存栏量</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清粪方式</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畜禽粪污处理方式</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储粪场等固体存贮容积（m³）</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污水池/氧化塘/沼气池等液体存贮容积（m³）</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kern w:val="0"/>
                <w:sz w:val="20"/>
                <w:szCs w:val="20"/>
              </w:rPr>
            </w:pPr>
            <w:r>
              <w:rPr>
                <w:rFonts w:hint="eastAsia" w:ascii="Times New Roman" w:hAnsi="Times New Roman" w:eastAsia="宋体" w:cs="Times New Roman"/>
                <w:b/>
                <w:bCs/>
                <w:color w:val="auto"/>
                <w:kern w:val="0"/>
                <w:sz w:val="20"/>
                <w:szCs w:val="20"/>
              </w:rPr>
              <w:t>其他储存方式及容积（m</w:t>
            </w:r>
            <w:r>
              <w:rPr>
                <w:rFonts w:hint="eastAsia" w:ascii="Times New Roman" w:hAnsi="Times New Roman" w:eastAsia="宋体" w:cs="Times New Roman"/>
                <w:b/>
                <w:bCs/>
                <w:color w:val="auto"/>
                <w:kern w:val="0"/>
                <w:sz w:val="20"/>
                <w:szCs w:val="20"/>
                <w:vertAlign w:val="superscript"/>
              </w:rPr>
              <w:t>3</w:t>
            </w:r>
            <w:r>
              <w:rPr>
                <w:rFonts w:hint="eastAsia" w:ascii="Times New Roman" w:hAnsi="Times New Roman" w:eastAsia="宋体" w:cs="Times New Roman"/>
                <w:b/>
                <w:bCs/>
                <w:color w:val="auto"/>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双泉镇</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山东优来牧业有限公司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双泉镇黄立泉</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180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济南佳宝畜牧有限公司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文昌街道前朱村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奶牛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2100</w:t>
            </w:r>
          </w:p>
        </w:tc>
        <w:tc>
          <w:tcPr>
            <w:tcW w:w="1119"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委托处理利用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4000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70000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济南希海农业科技有限公司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文昌街道陈庄</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78000</w:t>
            </w:r>
          </w:p>
        </w:tc>
        <w:tc>
          <w:tcPr>
            <w:tcW w:w="1119"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生产有机肥</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长清区王荣德养鸡场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文昌街道仁合</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50000</w:t>
            </w:r>
          </w:p>
        </w:tc>
        <w:tc>
          <w:tcPr>
            <w:tcW w:w="1119"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委托处理利用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340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济南张景牧业科技发展有限公司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文昌街道义合村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w:t>
            </w:r>
          </w:p>
        </w:tc>
        <w:tc>
          <w:tcPr>
            <w:tcW w:w="1119"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堆肥还田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730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1460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山东省种公牛站有限公司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文昌街道经十路</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奶牛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75</w:t>
            </w:r>
          </w:p>
        </w:tc>
        <w:tc>
          <w:tcPr>
            <w:tcW w:w="1119"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堆肥还田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82</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168</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济南凯创生态养殖有限公司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文昌街道荆庄</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3000</w:t>
            </w:r>
          </w:p>
        </w:tc>
        <w:tc>
          <w:tcPr>
            <w:tcW w:w="1119"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堆肥还田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350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济南绿牧农业开发有限公司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文昌街道荆庄</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2000</w:t>
            </w:r>
          </w:p>
        </w:tc>
        <w:tc>
          <w:tcPr>
            <w:tcW w:w="1119"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堆肥还田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196</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460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长清区鲁源奶牛养殖专业合作社</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归德街道东赵庄村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奶牛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864</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2560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长清区志诚奶牛养殖专业合作社</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归德镇张官村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奶牛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425</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380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880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11</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山东鼎泰牧业公司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归德街道西张庄村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尿泡粪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1375</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7730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济南活力养殖有限公司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归德街道前平村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3500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260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3050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长清区金卵养鸡场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归德街道程官庄东村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125</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14</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长清区金兴养鸡场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归德街道程官庄东村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15500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35</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15</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济南市长清区聚鑫养殖场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归德街道闫楼村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1548</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201</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储存发酵仓600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济南市长清区萌宇畜禽养殖场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归德街道土屋村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17</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济南市长清区红军蛋鸡养殖场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归德街道程官庄西村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15000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224.4</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18</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济南康迪畜牧发展有限公司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归德坟台村北</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19</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济南奥克斯畜牧种业有限公司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平安街道小范庄村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奶牛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350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150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山东明发福康牧业有限公司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平安街道东潘村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粪污处理车间400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21</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济南鑫盛达生物工程有限公司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平安街道百王村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26000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350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22</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济南赛斯家禽科技有限公司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平安街道南桥村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150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粪污处理车间1400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23</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济南市长清区秀才生态肉牛繁育养殖场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平安街道前升村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还田、沼气池发酵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150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平安前升养殖场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平安街道前升村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肉鸭</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还田、污水池发酵</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350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25</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济南鑫泽农业科技有限公司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张夏街道茶棚村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95</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26</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济南维康庄园生态农业发展有限公司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张夏街道靳庄村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27</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济南旺盛奶牛场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张夏街道靳庄村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奶牛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490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28</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济南龙河畜禽养殖有限公司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张夏街道桃园村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29</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w:t>
            </w:r>
          </w:p>
        </w:tc>
        <w:tc>
          <w:tcPr>
            <w:tcW w:w="281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王忠强肉鸡场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张夏街道韩庄村</w:t>
            </w:r>
          </w:p>
        </w:tc>
        <w:tc>
          <w:tcPr>
            <w:tcW w:w="78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肉鸡</w:t>
            </w:r>
          </w:p>
        </w:tc>
        <w:tc>
          <w:tcPr>
            <w:tcW w:w="102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w:t>
            </w:r>
          </w:p>
        </w:tc>
        <w:tc>
          <w:tcPr>
            <w:tcW w:w="281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郭建军肉鸡场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张夏街道韩庄村</w:t>
            </w:r>
          </w:p>
        </w:tc>
        <w:tc>
          <w:tcPr>
            <w:tcW w:w="78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肉鸡</w:t>
            </w:r>
          </w:p>
        </w:tc>
        <w:tc>
          <w:tcPr>
            <w:tcW w:w="102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110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31</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w:t>
            </w:r>
          </w:p>
        </w:tc>
        <w:tc>
          <w:tcPr>
            <w:tcW w:w="281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张国文肉鸡场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张夏街道吴庄村</w:t>
            </w:r>
          </w:p>
        </w:tc>
        <w:tc>
          <w:tcPr>
            <w:tcW w:w="78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肉鸡</w:t>
            </w:r>
          </w:p>
        </w:tc>
        <w:tc>
          <w:tcPr>
            <w:tcW w:w="102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22500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w:t>
            </w:r>
          </w:p>
        </w:tc>
        <w:tc>
          <w:tcPr>
            <w:tcW w:w="281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济南志玲养猪场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张夏街道下龙村</w:t>
            </w:r>
          </w:p>
        </w:tc>
        <w:tc>
          <w:tcPr>
            <w:tcW w:w="78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75</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260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33</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山东乐生园农牧循环科技有限公司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马山镇大河东村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2000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34</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长清区马山镇华伟养猪场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马山镇中义合村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321</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35</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济南七彩牧歌生态农业有限公司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马山镇薛家峪村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550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36</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济南安普瑞禽业科技有限公司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马山镇牛角沟村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250000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有机肥</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2000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37</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济南融汇农牧科技发展有限公司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马山镇大核桃园村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21800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38</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济南盛唐和众农牧发展有限公司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马山镇小刘庄村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20000</w:t>
            </w:r>
          </w:p>
        </w:tc>
        <w:tc>
          <w:tcPr>
            <w:tcW w:w="1119"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2000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4000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39</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长清区邢庆文养鸭场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马山镇南张庄村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肉鸭</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10000</w:t>
            </w:r>
          </w:p>
        </w:tc>
        <w:tc>
          <w:tcPr>
            <w:tcW w:w="1119"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30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900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胜利养鸡场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孝里街道胜利村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堆肥还田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160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50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41</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济南勇锋伟烨畜牧养殖有限公司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孝里街道陈峪</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堆肥还田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500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500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42</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济南沂河春农业发展有限公司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孝里街道杨庄村凤凰山峪</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堆肥还田、肥水还田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1000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4000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43</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济南涵宇畜牧养殖有限公司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孝里街道孝里一村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150000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垫草垫料</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委托第三方</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430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50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44</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仁和肉鸡养殖场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孝里街道北黄崖</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160000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堆肥还田</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400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400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45</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济南市宏祥畜牧养殖有限公司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万德街道马套村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1500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720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740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发酵仓600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46</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和盛源养猪场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万德街道六律村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230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700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47</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济南佳宝乳业有限公司第一牧场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平安街道明发路1999号</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奶牛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2200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垫草垫料</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堆肥</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3500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泰丰养猪场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万德街道店台村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240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780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49</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济南康赛牧业有限公司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万德街道小侯集村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550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1297</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50</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济南吉翔宇农业科技有限公司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万德街道界首村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蛋鸡</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75000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800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230</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发酵仓600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51</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山东富贵牧业有限公司</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万德街道大王村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肉牛</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719</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1092</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52</w:t>
            </w:r>
          </w:p>
        </w:tc>
        <w:tc>
          <w:tcPr>
            <w:tcW w:w="129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五峰山街道</w:t>
            </w:r>
          </w:p>
        </w:tc>
        <w:tc>
          <w:tcPr>
            <w:tcW w:w="28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济南市长清区永莲养殖场</w:t>
            </w:r>
          </w:p>
        </w:tc>
        <w:tc>
          <w:tcPr>
            <w:tcW w:w="171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五峰山街道三官庙村</w:t>
            </w:r>
          </w:p>
        </w:tc>
        <w:tc>
          <w:tcPr>
            <w:tcW w:w="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生猪</w:t>
            </w:r>
          </w:p>
        </w:tc>
        <w:tc>
          <w:tcPr>
            <w:tcW w:w="102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4000</w:t>
            </w:r>
          </w:p>
        </w:tc>
        <w:tc>
          <w:tcPr>
            <w:tcW w:w="1119"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干清粪</w:t>
            </w:r>
          </w:p>
        </w:tc>
        <w:tc>
          <w:tcPr>
            <w:tcW w:w="133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还田利用</w:t>
            </w:r>
          </w:p>
        </w:tc>
        <w:tc>
          <w:tcPr>
            <w:tcW w:w="1253"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180</w:t>
            </w:r>
          </w:p>
        </w:tc>
        <w:tc>
          <w:tcPr>
            <w:tcW w:w="133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602</w:t>
            </w:r>
          </w:p>
        </w:tc>
        <w:tc>
          <w:tcPr>
            <w:tcW w:w="1185"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无</w:t>
            </w:r>
          </w:p>
        </w:tc>
      </w:tr>
    </w:tbl>
    <w:p>
      <w:pPr>
        <w:ind w:firstLine="560"/>
        <w:rPr>
          <w:rFonts w:ascii="Times New Roman" w:hAnsi="Times New Roman" w:cs="Times New Roman"/>
          <w:color w:val="auto"/>
          <w:szCs w:val="28"/>
        </w:rPr>
        <w:sectPr>
          <w:pgSz w:w="16838" w:h="11906" w:orient="landscape"/>
          <w:pgMar w:top="1587" w:right="1814" w:bottom="1474" w:left="1701" w:header="720" w:footer="1304" w:gutter="0"/>
          <w:cols w:space="0" w:num="1"/>
          <w:docGrid w:linePitch="381" w:charSpace="0"/>
        </w:sectPr>
      </w:pPr>
    </w:p>
    <w:p>
      <w:pPr>
        <w:pStyle w:val="25"/>
        <w:tabs>
          <w:tab w:val="right" w:leader="dot" w:pos="8835"/>
        </w:tabs>
        <w:spacing w:after="0" w:line="240" w:lineRule="auto"/>
        <w:ind w:left="0"/>
        <w:rPr>
          <w:rFonts w:ascii="Times New Roman" w:hAnsi="Times New Roman" w:eastAsia="仿宋_GB2312"/>
          <w:sz w:val="28"/>
          <w:szCs w:val="28"/>
        </w:rPr>
      </w:pPr>
      <w:r>
        <w:rPr>
          <w:rFonts w:ascii="Times New Roman" w:hAnsi="Times New Roman" w:eastAsia="仿宋_GB2312"/>
          <w:sz w:val="28"/>
          <w:szCs w:val="28"/>
        </w:rPr>
        <w:t>附表2：畜禽养殖场户粪污肥料化利用配套土地面积要求清单</w:t>
      </w:r>
    </w:p>
    <w:tbl>
      <w:tblPr>
        <w:tblStyle w:val="29"/>
        <w:tblW w:w="889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81"/>
        <w:gridCol w:w="1184"/>
        <w:gridCol w:w="2780"/>
        <w:gridCol w:w="2150"/>
        <w:gridCol w:w="756"/>
        <w:gridCol w:w="13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b/>
                <w:bCs/>
                <w:color w:val="auto"/>
                <w:sz w:val="22"/>
              </w:rPr>
            </w:pPr>
            <w:r>
              <w:rPr>
                <w:rFonts w:ascii="Times New Roman" w:hAnsi="Times New Roman" w:eastAsia="宋体" w:cs="Times New Roman"/>
                <w:b/>
                <w:bCs/>
                <w:color w:val="auto"/>
                <w:kern w:val="0"/>
                <w:sz w:val="20"/>
                <w:szCs w:val="20"/>
              </w:rPr>
              <w:t>序号</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sz w:val="20"/>
                <w:szCs w:val="20"/>
              </w:rPr>
            </w:pPr>
            <w:r>
              <w:rPr>
                <w:rFonts w:hint="eastAsia" w:ascii="Times New Roman" w:hAnsi="Times New Roman" w:eastAsia="宋体" w:cs="Times New Roman"/>
                <w:b/>
                <w:bCs/>
                <w:color w:val="auto"/>
                <w:kern w:val="0"/>
                <w:sz w:val="20"/>
                <w:szCs w:val="20"/>
              </w:rPr>
              <w:t>镇街</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sz w:val="20"/>
                <w:szCs w:val="20"/>
              </w:rPr>
            </w:pPr>
            <w:r>
              <w:rPr>
                <w:rFonts w:hint="eastAsia" w:ascii="Times New Roman" w:hAnsi="Times New Roman" w:eastAsia="宋体" w:cs="Times New Roman"/>
                <w:b/>
                <w:bCs/>
                <w:color w:val="auto"/>
                <w:kern w:val="0"/>
                <w:sz w:val="20"/>
                <w:szCs w:val="20"/>
              </w:rPr>
              <w:t>专业户</w:t>
            </w:r>
            <w:r>
              <w:rPr>
                <w:rFonts w:ascii="Times New Roman" w:hAnsi="Times New Roman" w:eastAsia="宋体" w:cs="Times New Roman"/>
                <w:b/>
                <w:bCs/>
                <w:color w:val="auto"/>
                <w:kern w:val="0"/>
                <w:sz w:val="20"/>
                <w:szCs w:val="20"/>
              </w:rPr>
              <w:t>名称</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sz w:val="20"/>
                <w:szCs w:val="20"/>
              </w:rPr>
            </w:pPr>
            <w:r>
              <w:rPr>
                <w:rFonts w:ascii="Times New Roman" w:hAnsi="Times New Roman" w:eastAsia="宋体" w:cs="Times New Roman"/>
                <w:b/>
                <w:bCs/>
                <w:color w:val="auto"/>
                <w:kern w:val="0"/>
                <w:sz w:val="20"/>
                <w:szCs w:val="20"/>
              </w:rPr>
              <w:t>地址</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sz w:val="20"/>
                <w:szCs w:val="20"/>
              </w:rPr>
            </w:pPr>
            <w:r>
              <w:rPr>
                <w:rFonts w:ascii="Times New Roman" w:hAnsi="Times New Roman" w:eastAsia="宋体" w:cs="Times New Roman"/>
                <w:b/>
                <w:bCs/>
                <w:color w:val="auto"/>
                <w:kern w:val="0"/>
                <w:sz w:val="20"/>
                <w:szCs w:val="20"/>
              </w:rPr>
              <w:t>养殖畜种</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b/>
                <w:bCs/>
                <w:color w:val="auto"/>
                <w:sz w:val="20"/>
                <w:szCs w:val="20"/>
              </w:rPr>
            </w:pPr>
            <w:r>
              <w:rPr>
                <w:rFonts w:ascii="Times New Roman" w:hAnsi="Times New Roman" w:eastAsia="宋体" w:cs="Times New Roman"/>
                <w:b/>
                <w:bCs/>
                <w:color w:val="auto"/>
                <w:kern w:val="0"/>
                <w:sz w:val="20"/>
                <w:szCs w:val="20"/>
              </w:rPr>
              <w:t>配套粪肥消纳土地（亩）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山东优来牧业有限公司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双泉镇黄立泉</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济南佳宝畜牧有限公司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文昌街道前朱村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奶牛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济南希海农业科技有限公司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文昌街道陈庄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长清区王荣德养鸡场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文昌街道仁合</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济南张景牧业科技发展有限公司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文昌街道义合村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山东省种公牛站有限公司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文昌街道经十路</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奶牛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济南凯创生态养殖有限公司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文昌街道荆庄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济南绿牧农业开发有限公司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文昌街道荆庄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长清区鲁源奶牛养殖专业合作社</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归德街道东赵庄村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奶牛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长清区志诚奶牛养殖专业合作社</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归德镇张官村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奶牛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山东鼎泰牧业公司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归德街道西张庄村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济南活力养殖有限公司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归德街道前平村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长清区金卵养鸡场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归德街道程官庄东村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长清区金兴养鸡场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归德街道程官庄东村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济南市长清区聚鑫养殖场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归德街道闫楼村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济南市长清区萌宇畜禽养殖场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归德街道土屋村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济南市长清区红军蛋鸡养殖场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归德街道程官庄西村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济南康迪畜牧发展有限公司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归德街道坟台村北</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济南奥克斯畜牧种业有限公司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平安街道小范庄村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奶牛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山东明发福康牧业有限公司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平安街道东潘村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济南鑫盛达生物工程有限公司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平安街道百王村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济南赛斯家禽科技有限公司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平安街道南桥村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济南市长清区秀才生态肉牛繁育养殖场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平安街道前升村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平安前升养殖场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平安街道前升村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济南鑫泽农业科技有限公司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张夏街道茶棚村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济南维康庄园生态农业发展有限公司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张夏街道靳庄村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济南旺盛奶牛场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张夏街道靳庄村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奶牛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653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济南龙河畜禽养殖有限公司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张夏街道桃园村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王忠强肉鸡场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张夏街道韩庄村</w:t>
            </w:r>
          </w:p>
        </w:tc>
        <w:tc>
          <w:tcPr>
            <w:tcW w:w="756"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郭建军肉鸡场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张夏街道韩庄村</w:t>
            </w:r>
          </w:p>
        </w:tc>
        <w:tc>
          <w:tcPr>
            <w:tcW w:w="756"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张国文肉鸡场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张夏街道吴庄村</w:t>
            </w:r>
          </w:p>
        </w:tc>
        <w:tc>
          <w:tcPr>
            <w:tcW w:w="756"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济南志玲养猪场</w:t>
            </w:r>
          </w:p>
        </w:tc>
        <w:tc>
          <w:tcPr>
            <w:tcW w:w="2150"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张夏街道下龙村</w:t>
            </w:r>
          </w:p>
        </w:tc>
        <w:tc>
          <w:tcPr>
            <w:tcW w:w="756"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noWrap/>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山东乐生园农牧循环科技有限公司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马山镇大河东村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长清区马山镇华伟养猪场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马山镇中义合村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济南七彩牧歌生态农业有限公司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马山镇薛家峪村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济南安普瑞禽业科技有限公司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马山镇牛角沟村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济南融汇农牧科技发展有限公司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马山镇大核桃园村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174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济南盛唐和众农牧发展有限公司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马山镇小刘庄村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39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长清区邢庆文养鸭场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马山镇南张庄村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胜利养鸡场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孝里街道胜利村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济南勇锋伟烨畜牧养殖有限公司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孝里街道陈峪</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济南沂河春农业发展有限公司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孝里街道杨庄村凤凰山峪</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济南涵宇畜牧养殖有限公司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孝里街道孝里一村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仁和肉鸡养殖场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孝里街道北黄崖</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济南市宏祥畜牧养殖有限公司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万德街道马套村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和盛源养猪场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万德街道六律村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18"/>
                <w:szCs w:val="18"/>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济南佳宝乳业有限公司第一牧场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平安街道明发路1999号</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奶牛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2933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泰丰养猪场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万德街道店台村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49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济南康赛牧业有限公司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万德街道小侯集村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济南吉翔宇农业科技有限公司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万德街道界首村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山东富贵牧业有限公司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万德街道大王村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w:t>
            </w:r>
          </w:p>
        </w:tc>
        <w:tc>
          <w:tcPr>
            <w:tcW w:w="2780" w:type="dxa"/>
            <w:tcBorders>
              <w:tl2br w:val="nil"/>
              <w:tr2bl w:val="nil"/>
            </w:tcBorders>
            <w:shd w:val="clear" w:color="auto" w:fill="auto"/>
            <w:vAlign w:val="center"/>
          </w:tcPr>
          <w:p>
            <w:pPr>
              <w:spacing w:line="240" w:lineRule="auto"/>
              <w:ind w:firstLine="0" w:firstLineChars="0"/>
              <w:jc w:val="center"/>
              <w:textAlignment w:val="top"/>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济南市长清区永莲养殖场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万德街道三官庙村</w:t>
            </w:r>
          </w:p>
        </w:tc>
        <w:tc>
          <w:tcPr>
            <w:tcW w:w="756" w:type="dxa"/>
            <w:tcBorders>
              <w:tl2br w:val="nil"/>
              <w:tr2bl w:val="nil"/>
            </w:tcBorders>
            <w:shd w:val="clear" w:color="auto" w:fill="auto"/>
            <w:vAlign w:val="center"/>
          </w:tcPr>
          <w:p>
            <w:pPr>
              <w:spacing w:line="240" w:lineRule="auto"/>
              <w:ind w:firstLine="0" w:firstLineChars="0"/>
              <w:jc w:val="center"/>
              <w:textAlignment w:val="top"/>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超常养猪场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文昌街道杨庄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郝伟养殖场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文昌街道东苏</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段德平养殖场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文昌街道南门里</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陈延银养殖场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文昌街道刘村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兆胜养猪场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文昌街道荆庄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鼎腾顺牛场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文昌街道山峪</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59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鑫泉农场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文昌街道水泉</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潘庄鸡场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文昌街道潘庄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潘宝奎猪场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文昌街道潘庄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陈延银牛场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文昌街道水泉</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董传智养牛场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文昌街道孟李</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盛龙养殖场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文昌街道大柿子园</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张德志猪场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文昌街道小柿子园</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李亮养殖场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归德街道薛庄村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庄启生养殖场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庄志刚养殖场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69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庄庆伟养殖场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庄建华养殖场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庄利强养殖场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董秀芩养殖场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归德街道张庄村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万雪峰养殖场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归德街道万庄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万应涛养殖场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归德街道胡同店</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李修虎养殖场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归德街道西程村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王振娥养殖场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归德街道西程村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李修志养殖场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归德街道东程村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李修泉养殖场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79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朱成娟养殖场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归德街道翟庄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房玉燕养殖场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归德街道月庄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曹善辛养殖场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归德街道东辛村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马祥仁养殖场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归德街道后刘官</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马忠华养殖场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归德街道后刘官</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庄延卫养殖场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归德街道东程官</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李好金养殖场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归德街道东程官</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李友海养殖场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归德街道东程官</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马远鲁养殖场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于成民养殖场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89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于芳养殖场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田玉安养殖场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归德街道平房</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房玉忠养殖场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归德街道薛庄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王振路养殖场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归德街道西程官</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于洪海养殖场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庄利国养殖场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归德街道庄楼村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陆贞刚养殖场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归德街道陆庄村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董希华养殖场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归德街道董岗</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董希泉养殖场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归德街道董岗</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曹相水养殖场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归德街道曹楼村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99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曹生恒养殖场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归德街道曹楼村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张家珠养殖场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归德街道翟庄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李龙养殖场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归德街道南赵</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张延杰养殖场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归德街道永平</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曹卫华养殖场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归德街道永平</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张荣义养殖场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归德街道岗辛</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白树银养殖场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归德街道山贾庄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董加振养殖场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归德街道后夏</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蓝鑫德肉牛场养殖场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平安街道赵营村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鲁水养猪场（水利局农场）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平安街道石马</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109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森旺野猪特种养殖场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平安街道潘村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张存金肉牛</w:t>
            </w:r>
            <w:r>
              <w:rPr>
                <w:rFonts w:hint="eastAsia" w:ascii="Times New Roman" w:hAnsi="Times New Roman" w:eastAsia="宋体" w:cs="Times New Roman"/>
                <w:color w:val="auto"/>
                <w:kern w:val="0"/>
                <w:sz w:val="20"/>
                <w:szCs w:val="20"/>
              </w:rPr>
              <w:t>专业户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平安街道石马村北</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于希林蛋鸡养猪户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平安街道小于村西</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长清区宝发养猪场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平安街道桥子李村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孙东刚蛋鸡</w:t>
            </w:r>
            <w:r>
              <w:rPr>
                <w:rFonts w:hint="eastAsia" w:ascii="Times New Roman" w:hAnsi="Times New Roman" w:eastAsia="宋体" w:cs="Times New Roman"/>
                <w:color w:val="auto"/>
                <w:kern w:val="0"/>
                <w:sz w:val="20"/>
                <w:szCs w:val="20"/>
              </w:rPr>
              <w:t>专业户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平安街道腾屯村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孙东城蛋鸡</w:t>
            </w:r>
            <w:r>
              <w:rPr>
                <w:rFonts w:hint="eastAsia" w:ascii="Times New Roman" w:hAnsi="Times New Roman" w:eastAsia="宋体" w:cs="Times New Roman"/>
                <w:color w:val="auto"/>
                <w:kern w:val="0"/>
                <w:sz w:val="20"/>
                <w:szCs w:val="20"/>
              </w:rPr>
              <w:t>专业户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平安街道腾屯村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世领养牛殖户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平安街道丁店村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于宝养猪户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平安街道后孙村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山东网瑞物产有限公司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平安街道北郭庄东</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王芳蛋鸡</w:t>
            </w:r>
            <w:r>
              <w:rPr>
                <w:rFonts w:hint="eastAsia" w:ascii="Times New Roman" w:hAnsi="Times New Roman" w:eastAsia="宋体" w:cs="Times New Roman"/>
                <w:color w:val="auto"/>
                <w:kern w:val="0"/>
                <w:sz w:val="20"/>
                <w:szCs w:val="20"/>
              </w:rPr>
              <w:t>专业户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平安街道桥子李村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119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济南市畜牧技术推广站</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平安街道小范村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长清区绿壳蛋鸡养殖基地</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张夏街道孔庄村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王宝勇蛋鸡场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张夏街道石店村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王宝才蛋鸡场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张夏街道桃园村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梁桂法蛋鸡场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段芹蛋鸡场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张夏街道诗庄村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韩士武蛋鸡场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张夏街道西野老村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韩文俊蛋鸡场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张夏街道西野老村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闫兴利蛋鸡场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张夏街道花岩寺村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刘新蛋鸡场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张夏街道花岩寺村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129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王玉明蛋鸡场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张夏街道东野老村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张洪成蛋鸡场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张夏街道西野老村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段方银蛋鸡场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张夏街道诗庄村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姜爱军蛋鸡场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张夏街道诗庄村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段涛蛋鸡场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张夏街道诗庄村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石志祯蛋鸡场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张夏街道诗庄村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吕振茂蛋鸡场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张夏街道井峪村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伊传宝蛋鸡场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赵勇蛋鸡户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郑兆华蛋鸡户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139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王宝祥蛋鸡场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张夏街道井峪村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孙广杰蛋鸡场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张夏街道井峪村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段德伟蛋鸡场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张夏街道诗庄村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吕振勇蛋鸡场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张夏街道井峪村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段德志蛋鸡场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张夏街道纸坊村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段耀军蛋鸡场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张夏街道纸坊村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姜宝才蛋鸡场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张夏街道桃园村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姜宝明蛋鸡场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张夏街道桃园村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韩顺法蛋鸡场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张夏街道娄峪村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宋宝成蛋鸡户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张夏街道娄峪村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149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王登奎蛋鸡场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张夏街道丁庄村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赵凤友蛋鸡场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张夏街道丁庄村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刘凤财养殖场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张夏街道土门村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李恒基蛋鸡户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张夏街道宋庄村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杨云荣肉鸡户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张夏街道小寺村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韩同明肉鸡户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张夏街道宋庄村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明崇心肉鸡户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张夏街道吴庄村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薛富林肉鸡户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张夏街道薛庄村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尹承荣肉鸡户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张夏街道三尖台村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赵光强肉鸡户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张夏街道韩庄村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159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李有振肉鸡户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张夏街道下龙村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刘文廷肉鸡户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张夏街道小刘村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姬圣凯肉鸡户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张夏街道小刘村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张绪堂肉鸡户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张夏街道靳庄村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陈志卿肉鸡户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张夏街道靳庄村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杜兴民肉鸡户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张夏街道杜庄村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王庄扶贫肉鸡户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张夏街道王庄村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杨俊安肉鸡户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张夏街道孔庄村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朱传宝肉鸭户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张夏街道土门村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王瑞财肉鸭户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张夏街道土门村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169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金文华肉鸭户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张夏街道吴庄村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张胜民肉鸭户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张夏街道吴庄村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隋丙营肉鸭户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张夏街道丁庄村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韩振涛肉鸭户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张夏街道丁庄村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王宝泉肉鸭户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张夏街道车厢村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长清区凯达养殖场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张夏街道上龙村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李成柱养羊户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张夏街道诗庄村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张克林养猪户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张夏街道靳庄村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王文善养猪户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张夏街道车厢村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刘洪春养猪户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张夏街道西野老村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179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王怀庆养猪户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张夏街道井峪村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李圣茂养猪户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张夏街道桃园村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吕振荣养猪户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张夏街道井峪村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李有超养猪户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张夏街道下龙村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王元善养猪户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张夏街道梨枣峪村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王保福养猪户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张夏街道井峪村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孟庆于养殖场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马山镇南李</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张以勇养殖场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马山镇焦庄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刘庆阳养殖场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马山镇小刘</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董金凤养殖场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马山镇周庙</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189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李修伟养殖场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马山镇大河东</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孟昭镇养殖场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马山镇潘庄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朱延忠养殖场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马山镇牛角沟</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赵奉元养殖场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马山镇庄峪</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刘元国养殖场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孝里街道松竹</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会清鸡场养殖场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孝里街道朱庄村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王兴杰猪场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孝里街道郭庄村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赵修军猪场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赵修荣猪场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孟帅猪场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孝里街道孟道口村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199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张建养殖场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孝里街道孝里街道二村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曾国庆养殖场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孝里街道北凤村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太平猪场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孝里街道太平村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刘道锋猪场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孝里街道米庄村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石龙蛋鸡场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孝里街道北黄崖</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全顺养猪场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孝里街道赵庄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洪铭养殖公司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孝里街道大桥</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生昌牛场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孝里街道四街村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鲁清猪场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孝里街道方峪</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孟兆强养殖场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孝里街道龙泉官庄村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209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赵学文养殖场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孝里街道龙泉官庄村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谷传亮养殖场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孝里街道广里店村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山羊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周广荣养殖场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孝里街道广里店村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吴兴寅养殖场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孝里街道广里店村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庞传才养殖场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孝里街道广里村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孙德成养殖场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孝里街道广里村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陈正国养殖场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孝里街道广里村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韩国民蛋鸡场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万德街道坡里庄</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张立强蛋鸡场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万德街道坡里庄</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王传德蛋鸡场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万德街道坡里庄</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219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孟传富蛋鸡场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万德街道坡里庄</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曹世强蛋鸡场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万德街道曹庄</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张兴金蛋鸡场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万德街道大刘</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王庆如蛋鸡场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万德街道北纸坊</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王学法蛋鸡场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万德街道南纸坊</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邵怀年蛋鸡场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万德街道邵庄村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邵怀松蛋鸡场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万德街道邵庄村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邵恩迎蛋鸡场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万德街道邵庄村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宁长平蛋鸡场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万德街道长城村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胡兴军蛋鸡场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万德街道长城村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229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亓永柱蛋鸡场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万德街道长城村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郑玉臣蛋鸡场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万德街道长城村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亓永杰蛋鸡场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万德街道长城村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杜兆城蛋鸡场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万德街道长城村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赵绪林蛋鸡场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万德街道小侯集村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房士才蛋鸡场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万德街道小万德街道</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李冠峰蛋鸡场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万德街道界首村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宋庆元蛋鸡场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万德街道界首村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李文江蛋鸡场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万德街道店台村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李文国蛋鸡场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万德街道店台村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239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侯本奎肉鸡场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万德街道东夏峪</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李全国肉鸭场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万德街道长城</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韩国令肉鸭场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万德街道坡里庄</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韩振君肉鸭场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万德街道坡里庄</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江焕增肉鸭场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万德街道坡里庄</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侯本君肉鸭场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万德街道东夏峪</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孙焕青肉鸭场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万德街道孙家峪</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孔令东肉鸭场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万德街道孙家峪</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任继君养鸭场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万德街道坡里庄</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马传富蛋鸡场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万德街道界首村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249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朱玉君蛋鸡场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万德街道界首村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李志平蛋鸡场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万德街道界首村</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徐志军蛋鸡场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万德街道万北</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桥岭山养殖场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万德街道长城</w:t>
            </w:r>
          </w:p>
        </w:tc>
        <w:tc>
          <w:tcPr>
            <w:tcW w:w="756" w:type="dxa"/>
            <w:tcBorders>
              <w:tl2br w:val="nil"/>
              <w:tr2bl w:val="nil"/>
            </w:tcBorders>
            <w:shd w:val="clear" w:color="auto" w:fill="auto"/>
            <w:vAlign w:val="center"/>
          </w:tcPr>
          <w:p>
            <w:pPr>
              <w:spacing w:line="240" w:lineRule="auto"/>
              <w:ind w:firstLine="0" w:firstLineChars="0"/>
              <w:jc w:val="center"/>
              <w:textAlignment w:val="bottom"/>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176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史庆锁蛋鸡场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潘玉祥蛋鸡场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万德街道陈庄村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邵怀印蛋鸡场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邵怀涛蛋鸡场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邵怀国蛋鸡场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万德街道邵庄村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潘怀刚蛋鸡场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万德街道陈庄村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259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刘永忠猪场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万德街道官庄村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长清区恒源养猪场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万德街道孙家圈</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王凤凯蛋鸡场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万德街道南纸坊</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济南银荷畜牧繁殖养殖有限公司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万德街道石都庄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长清区康锴农牧场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万德街道东夏峪</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孙延宝养猪场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万德街道下营</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孙猛养猪场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万德街道官庄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梓源养猪场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万德街道武庄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王鑫牛场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万德街道官庄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盛洪祥养殖场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万德街道孙家圈</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269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董庆廷养猪户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五峰山街道北西石村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张延新养猪户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五峰山街道邱庄村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70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济南市长清区瑞源畜禽养殖场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济南市长清区实在人生态养殖农场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五峰山街道宋村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宋家国养猪户</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五峰山街道展庄村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洪勇养殖场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五峰山街道张庄村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张强养殖场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五峰山街道张庄村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陈庆虎养殖场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双泉镇尹庄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朱宝娥养殖场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双泉镇马西</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郝伟养殖场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双泉镇东坦</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279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李荣常养殖场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双泉镇东坦</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邵军养殖场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双泉镇后园村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艾军训养殖场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双泉镇西坦</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蛋鹅</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温志超养殖场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双泉镇尹庄村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昌光勇养殖场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双泉镇尹庄村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王军养殖场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双泉镇王庄村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285</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陈昌养殖场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双泉镇小张村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肉羊</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286</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孙玉伟养殖场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双泉镇西屋村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肉牛</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287</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张瑞新养殖场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双泉镇尹庄</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288</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董林荣养殖场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双泉镇马西</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蛋鸡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289</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麻兴娟养鸭场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崮云湖街道凤凰村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290</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周立超养鸭场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崮云湖街道凤凰村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291</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崔洪春养鸭场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崮云湖街道坡庄村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肉鸭</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292</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徐相强养猪场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崮云湖街道大刘村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293</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赵学海养猪场</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崮云湖街道炒米店村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681"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294</w:t>
            </w:r>
          </w:p>
        </w:tc>
        <w:tc>
          <w:tcPr>
            <w:tcW w:w="1184"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w:t>
            </w:r>
          </w:p>
        </w:tc>
        <w:tc>
          <w:tcPr>
            <w:tcW w:w="278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济南恒瑞农业生态有限公司</w:t>
            </w:r>
          </w:p>
        </w:tc>
        <w:tc>
          <w:tcPr>
            <w:tcW w:w="2150"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kern w:val="0"/>
                <w:sz w:val="20"/>
                <w:szCs w:val="20"/>
              </w:rPr>
              <w:t>崮云湖街道炒米店村</w:t>
            </w:r>
          </w:p>
        </w:tc>
        <w:tc>
          <w:tcPr>
            <w:tcW w:w="75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rPr>
              <w:t>生猪</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90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7551" w:type="dxa"/>
            <w:gridSpan w:val="5"/>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合计</w:t>
            </w:r>
          </w:p>
        </w:tc>
        <w:tc>
          <w:tcPr>
            <w:tcW w:w="1346" w:type="dxa"/>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47457</w:t>
            </w:r>
          </w:p>
        </w:tc>
      </w:tr>
    </w:tbl>
    <w:p>
      <w:pPr>
        <w:pStyle w:val="25"/>
        <w:tabs>
          <w:tab w:val="right" w:leader="dot" w:pos="8835"/>
        </w:tabs>
        <w:spacing w:line="312" w:lineRule="auto"/>
        <w:ind w:left="0" w:firstLine="280" w:firstLineChars="100"/>
        <w:rPr>
          <w:rFonts w:ascii="Times New Roman" w:hAnsi="Times New Roman" w:eastAsia="仿宋_GB2312"/>
          <w:sz w:val="28"/>
          <w:szCs w:val="28"/>
        </w:rPr>
      </w:pPr>
    </w:p>
    <w:p>
      <w:pPr>
        <w:pStyle w:val="25"/>
        <w:tabs>
          <w:tab w:val="right" w:leader="dot" w:pos="8835"/>
        </w:tabs>
        <w:spacing w:line="312" w:lineRule="auto"/>
        <w:ind w:left="0" w:firstLine="280" w:firstLineChars="100"/>
        <w:rPr>
          <w:rFonts w:ascii="Times New Roman" w:hAnsi="Times New Roman" w:eastAsia="仿宋_GB2312"/>
          <w:sz w:val="28"/>
          <w:szCs w:val="28"/>
        </w:rPr>
        <w:sectPr>
          <w:pgSz w:w="11906" w:h="16838"/>
          <w:pgMar w:top="1814" w:right="1474" w:bottom="1701" w:left="1587" w:header="720" w:footer="1304" w:gutter="0"/>
          <w:cols w:space="0" w:num="1"/>
          <w:docGrid w:linePitch="381" w:charSpace="0"/>
        </w:sectPr>
      </w:pPr>
    </w:p>
    <w:p>
      <w:pPr>
        <w:pStyle w:val="25"/>
        <w:tabs>
          <w:tab w:val="right" w:leader="dot" w:pos="8835"/>
        </w:tabs>
        <w:spacing w:line="312" w:lineRule="auto"/>
        <w:ind w:left="0" w:firstLine="280" w:firstLineChars="100"/>
        <w:rPr>
          <w:rFonts w:ascii="Times New Roman" w:hAnsi="Times New Roman" w:eastAsia="仿宋_GB2312"/>
          <w:sz w:val="28"/>
          <w:szCs w:val="28"/>
        </w:rPr>
      </w:pPr>
      <w:r>
        <w:rPr>
          <w:rFonts w:ascii="Times New Roman" w:hAnsi="Times New Roman" w:eastAsia="仿宋_GB2312"/>
          <w:sz w:val="28"/>
          <w:szCs w:val="28"/>
        </w:rPr>
        <w:t>附表3：畜禽养殖污染防治重点工程支持主体和内容清单</w:t>
      </w:r>
    </w:p>
    <w:tbl>
      <w:tblPr>
        <w:tblStyle w:val="29"/>
        <w:tblW w:w="8715" w:type="dxa"/>
        <w:tblInd w:w="8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5" w:type="dxa"/>
          <w:left w:w="108" w:type="dxa"/>
          <w:bottom w:w="0" w:type="dxa"/>
          <w:right w:w="5" w:type="dxa"/>
        </w:tblCellMar>
      </w:tblPr>
      <w:tblGrid>
        <w:gridCol w:w="1440"/>
        <w:gridCol w:w="1965"/>
        <w:gridCol w:w="3570"/>
        <w:gridCol w:w="17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5" w:type="dxa"/>
            <w:left w:w="108" w:type="dxa"/>
            <w:bottom w:w="0" w:type="dxa"/>
            <w:right w:w="5" w:type="dxa"/>
          </w:tblCellMar>
        </w:tblPrEx>
        <w:trPr>
          <w:trHeight w:val="454" w:hRule="atLeast"/>
        </w:trPr>
        <w:tc>
          <w:tcPr>
            <w:tcW w:w="14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项目类型</w:t>
            </w:r>
          </w:p>
        </w:tc>
        <w:tc>
          <w:tcPr>
            <w:tcW w:w="1965" w:type="dxa"/>
            <w:vAlign w:val="center"/>
          </w:tcPr>
          <w:p>
            <w:pPr>
              <w:spacing w:line="240" w:lineRule="auto"/>
              <w:ind w:firstLine="0" w:firstLineChars="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企业名称</w:t>
            </w:r>
          </w:p>
        </w:tc>
        <w:tc>
          <w:tcPr>
            <w:tcW w:w="357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建设内容</w:t>
            </w:r>
          </w:p>
        </w:tc>
        <w:tc>
          <w:tcPr>
            <w:tcW w:w="17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投资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5" w:type="dxa"/>
            <w:left w:w="108" w:type="dxa"/>
            <w:bottom w:w="0" w:type="dxa"/>
            <w:right w:w="5" w:type="dxa"/>
          </w:tblCellMar>
        </w:tblPrEx>
        <w:trPr>
          <w:trHeight w:val="454" w:hRule="atLeast"/>
        </w:trPr>
        <w:tc>
          <w:tcPr>
            <w:tcW w:w="14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生态牧场配套粪污收集和处理项目</w:t>
            </w:r>
          </w:p>
        </w:tc>
        <w:tc>
          <w:tcPr>
            <w:tcW w:w="1965"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济南佳宝乳业有限公司生态牧场分公司</w:t>
            </w:r>
          </w:p>
        </w:tc>
        <w:tc>
          <w:tcPr>
            <w:tcW w:w="357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主要建设各牛舍11座、卧床垫料棚2座、特需奶厅1座、挤奶厅1座、固液分离大棚1座、常温厌氧发酵囊3个、沼液暂存池1个，宿舍楼办公楼各1座、青贮窖6座、干草棚2座，</w:t>
            </w:r>
          </w:p>
        </w:tc>
        <w:tc>
          <w:tcPr>
            <w:tcW w:w="17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570万元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5" w:type="dxa"/>
            <w:left w:w="108" w:type="dxa"/>
            <w:bottom w:w="0" w:type="dxa"/>
            <w:right w:w="5" w:type="dxa"/>
          </w:tblCellMar>
        </w:tblPrEx>
        <w:trPr>
          <w:trHeight w:val="454" w:hRule="atLeast"/>
        </w:trPr>
        <w:tc>
          <w:tcPr>
            <w:tcW w:w="14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畜禽粪污资源化利用项目</w:t>
            </w:r>
          </w:p>
        </w:tc>
        <w:tc>
          <w:tcPr>
            <w:tcW w:w="1965"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普菲特现代智慧农业（山东）有限公司</w:t>
            </w:r>
          </w:p>
        </w:tc>
        <w:tc>
          <w:tcPr>
            <w:tcW w:w="357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干粪设备1座，配套收集及处理设施1套</w:t>
            </w:r>
          </w:p>
        </w:tc>
        <w:tc>
          <w:tcPr>
            <w:tcW w:w="1740" w:type="dxa"/>
            <w:vAlign w:val="center"/>
          </w:tcPr>
          <w:p>
            <w:pPr>
              <w:spacing w:line="240" w:lineRule="auto"/>
              <w:ind w:firstLine="0" w:firstLineChars="0"/>
              <w:jc w:val="center"/>
              <w:rPr>
                <w:rFonts w:ascii="Times New Roman" w:hAnsi="Times New Roman" w:cs="Times New Roman"/>
                <w:color w:val="auto"/>
                <w:sz w:val="24"/>
                <w:szCs w:val="24"/>
              </w:rPr>
            </w:pPr>
            <w:r>
              <w:rPr>
                <w:rFonts w:ascii="Times New Roman" w:hAnsi="Times New Roman" w:cs="Times New Roman"/>
                <w:color w:val="auto"/>
                <w:sz w:val="24"/>
                <w:szCs w:val="24"/>
              </w:rPr>
              <w:t>200万元</w:t>
            </w:r>
          </w:p>
        </w:tc>
      </w:tr>
    </w:tbl>
    <w:p>
      <w:pPr>
        <w:pStyle w:val="25"/>
        <w:tabs>
          <w:tab w:val="right" w:leader="dot" w:pos="8835"/>
        </w:tabs>
        <w:spacing w:line="312" w:lineRule="auto"/>
        <w:ind w:left="0" w:firstLine="280" w:firstLineChars="100"/>
        <w:rPr>
          <w:rFonts w:ascii="Times New Roman" w:hAnsi="Times New Roman" w:eastAsia="仿宋_GB2312"/>
          <w:sz w:val="28"/>
          <w:szCs w:val="28"/>
        </w:rPr>
      </w:pPr>
    </w:p>
    <w:p>
      <w:pPr>
        <w:pStyle w:val="25"/>
        <w:tabs>
          <w:tab w:val="right" w:leader="dot" w:pos="8835"/>
        </w:tabs>
        <w:spacing w:line="312" w:lineRule="auto"/>
        <w:ind w:left="0" w:firstLine="280" w:firstLineChars="100"/>
        <w:rPr>
          <w:rFonts w:ascii="Times New Roman" w:hAnsi="Times New Roman" w:eastAsia="仿宋_GB2312"/>
          <w:sz w:val="28"/>
          <w:szCs w:val="28"/>
        </w:rPr>
        <w:sectPr>
          <w:pgSz w:w="11906" w:h="16838"/>
          <w:pgMar w:top="1814" w:right="1474" w:bottom="1701" w:left="1587" w:header="720" w:footer="1417" w:gutter="0"/>
          <w:cols w:space="0" w:num="1"/>
        </w:sectPr>
      </w:pPr>
    </w:p>
    <w:p>
      <w:pPr>
        <w:pStyle w:val="25"/>
        <w:tabs>
          <w:tab w:val="right" w:leader="dot" w:pos="8835"/>
        </w:tabs>
        <w:spacing w:line="312" w:lineRule="auto"/>
        <w:ind w:left="0" w:firstLine="280" w:firstLineChars="100"/>
        <w:rPr>
          <w:rFonts w:ascii="Times New Roman" w:hAnsi="Times New Roman" w:eastAsia="仿宋_GB2312"/>
          <w:sz w:val="28"/>
          <w:szCs w:val="28"/>
        </w:rPr>
      </w:pPr>
      <w:r>
        <w:rPr>
          <w:rFonts w:ascii="Times New Roman" w:hAnsi="Times New Roman" w:eastAsia="仿宋_GB2312"/>
          <w:sz w:val="28"/>
          <w:szCs w:val="28"/>
        </w:rPr>
        <w:t>附表4：行政区域内耕地、园地、林地、草地面积清单</w:t>
      </w:r>
    </w:p>
    <w:tbl>
      <w:tblPr>
        <w:tblStyle w:val="30"/>
        <w:tblpPr w:leftFromText="180" w:rightFromText="180" w:vertAnchor="text" w:horzAnchor="page" w:tblpX="1437" w:tblpY="562"/>
        <w:tblOverlap w:val="never"/>
        <w:tblW w:w="1475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167"/>
        <w:gridCol w:w="1200"/>
        <w:gridCol w:w="1183"/>
        <w:gridCol w:w="1150"/>
        <w:gridCol w:w="1150"/>
        <w:gridCol w:w="1234"/>
        <w:gridCol w:w="1333"/>
        <w:gridCol w:w="1183"/>
        <w:gridCol w:w="1200"/>
        <w:gridCol w:w="1267"/>
        <w:gridCol w:w="12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Merge w:val="restart"/>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街道</w:t>
            </w:r>
          </w:p>
        </w:tc>
        <w:tc>
          <w:tcPr>
            <w:tcW w:w="3550" w:type="dxa"/>
            <w:gridSpan w:val="3"/>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耕地</w:t>
            </w:r>
          </w:p>
        </w:tc>
        <w:tc>
          <w:tcPr>
            <w:tcW w:w="3534" w:type="dxa"/>
            <w:gridSpan w:val="3"/>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园地</w:t>
            </w:r>
          </w:p>
        </w:tc>
        <w:tc>
          <w:tcPr>
            <w:tcW w:w="4983" w:type="dxa"/>
            <w:gridSpan w:val="4"/>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林地</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草地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水田</w:t>
            </w:r>
            <w:r>
              <w:rPr>
                <w:rFonts w:ascii="Times New Roman" w:hAnsi="Times New Roman" w:cs="Times New Roman"/>
                <w:color w:val="auto"/>
                <w:sz w:val="21"/>
                <w:szCs w:val="21"/>
              </w:rPr>
              <w:br w:type="textWrapping"/>
            </w:r>
            <w:r>
              <w:rPr>
                <w:rFonts w:ascii="Times New Roman" w:hAnsi="Times New Roman" w:cs="Times New Roman"/>
                <w:color w:val="auto"/>
                <w:sz w:val="21"/>
                <w:szCs w:val="21"/>
              </w:rPr>
              <w:t>（0101）</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水浇地</w:t>
            </w:r>
            <w:r>
              <w:rPr>
                <w:rFonts w:ascii="Times New Roman" w:hAnsi="Times New Roman" w:cs="Times New Roman"/>
                <w:color w:val="auto"/>
                <w:sz w:val="21"/>
                <w:szCs w:val="21"/>
              </w:rPr>
              <w:br w:type="textWrapping"/>
            </w:r>
            <w:r>
              <w:rPr>
                <w:rFonts w:ascii="Times New Roman" w:hAnsi="Times New Roman" w:cs="Times New Roman"/>
                <w:color w:val="auto"/>
                <w:sz w:val="21"/>
                <w:szCs w:val="21"/>
              </w:rPr>
              <w:t>（0102）</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旱地</w:t>
            </w:r>
            <w:r>
              <w:rPr>
                <w:rFonts w:ascii="Times New Roman" w:hAnsi="Times New Roman" w:cs="Times New Roman"/>
                <w:color w:val="auto"/>
                <w:sz w:val="21"/>
                <w:szCs w:val="21"/>
              </w:rPr>
              <w:br w:type="textWrapping"/>
            </w:r>
            <w:r>
              <w:rPr>
                <w:rFonts w:ascii="Times New Roman" w:hAnsi="Times New Roman" w:cs="Times New Roman"/>
                <w:color w:val="auto"/>
                <w:sz w:val="21"/>
                <w:szCs w:val="21"/>
              </w:rPr>
              <w:t>（0103）</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果园</w:t>
            </w:r>
            <w:r>
              <w:rPr>
                <w:rFonts w:ascii="Times New Roman" w:hAnsi="Times New Roman" w:cs="Times New Roman"/>
                <w:color w:val="auto"/>
                <w:sz w:val="21"/>
                <w:szCs w:val="21"/>
              </w:rPr>
              <w:br w:type="textWrapping"/>
            </w:r>
            <w:r>
              <w:rPr>
                <w:rFonts w:ascii="Times New Roman" w:hAnsi="Times New Roman" w:cs="Times New Roman"/>
                <w:color w:val="auto"/>
                <w:sz w:val="21"/>
                <w:szCs w:val="21"/>
              </w:rPr>
              <w:t>（0201）</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茶园（0202）</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其他园地</w:t>
            </w:r>
            <w:r>
              <w:rPr>
                <w:rFonts w:ascii="Times New Roman" w:hAnsi="Times New Roman" w:cs="Times New Roman"/>
                <w:color w:val="auto"/>
                <w:sz w:val="21"/>
                <w:szCs w:val="21"/>
              </w:rPr>
              <w:br w:type="textWrapping"/>
            </w:r>
            <w:r>
              <w:rPr>
                <w:rFonts w:ascii="Times New Roman" w:hAnsi="Times New Roman" w:cs="Times New Roman"/>
                <w:color w:val="auto"/>
                <w:sz w:val="21"/>
                <w:szCs w:val="21"/>
              </w:rPr>
              <w:t>（0204）</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乔木林地（0301）</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竹木林地（0302）</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灌木林地（0305）</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其他林地（0307）</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其他草地（0404）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文昌街道</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0.86</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2336.57</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143.32</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493.79</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114.83</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1517.71</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0.93</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3.96</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1529.07</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272.22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归德街道</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0.43</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6049.92</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1772.0</w:t>
            </w:r>
            <w:r>
              <w:rPr>
                <w:rFonts w:hint="eastAsia" w:ascii="Times New Roman" w:hAnsi="Times New Roman" w:cs="Times New Roman"/>
                <w:color w:val="auto"/>
                <w:sz w:val="21"/>
                <w:szCs w:val="21"/>
              </w:rPr>
              <w:t>8</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146.5</w:t>
            </w:r>
            <w:r>
              <w:rPr>
                <w:rFonts w:hint="eastAsia" w:ascii="Times New Roman" w:hAnsi="Times New Roman" w:cs="Times New Roman"/>
                <w:color w:val="auto"/>
                <w:sz w:val="21"/>
                <w:szCs w:val="21"/>
              </w:rPr>
              <w:t>6</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22.40</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1214.36</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340.93</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1193.27</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288.10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平安街道</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3.98</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1678.27</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4.11</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615.95</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187.53</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1287.93</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4.49</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1072.46</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168.35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张夏街道</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195.08</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1377.84</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3442.30</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188.75</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2082.37</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1690.80</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1610.32</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791.78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马山镇</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560.12</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2042.83</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1114.49</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134.09</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1380.32</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240.74</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2128.07</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289.22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孝里街道</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74.44</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4231.81</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1264.13</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896.08</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102.94</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1822.13</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0.87</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312.99</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1697.72</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324.24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万德街道</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382.04</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1846.76</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2064.82</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60.93</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126.34</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5933.08</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1205.35</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2532.19</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五峰山街道</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603.55</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1757.07</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1780.89</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326.49</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1433.35</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770.34</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888.89</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283.31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双泉镇</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0.36</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471.36</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3366.98</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4777.12</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233.77</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1820.93</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354.13</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1735.72</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392.03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崮云湖街道</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215.08</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248.25</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1420.11</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173.25</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1867.67</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266.29</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1705.49</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833.71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总计</w:t>
            </w:r>
          </w:p>
        </w:tc>
        <w:tc>
          <w:tcPr>
            <w:tcW w:w="11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80.07</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16723.80</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13823.37</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16752.11</w:t>
            </w:r>
          </w:p>
        </w:tc>
        <w:tc>
          <w:tcPr>
            <w:tcW w:w="115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60.93</w:t>
            </w:r>
          </w:p>
        </w:tc>
        <w:tc>
          <w:tcPr>
            <w:tcW w:w="1234"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1610.40</w:t>
            </w:r>
          </w:p>
        </w:tc>
        <w:tc>
          <w:tcPr>
            <w:tcW w:w="133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20359.85</w:t>
            </w:r>
          </w:p>
        </w:tc>
        <w:tc>
          <w:tcPr>
            <w:tcW w:w="11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1.90</w:t>
            </w:r>
          </w:p>
        </w:tc>
        <w:tc>
          <w:tcPr>
            <w:tcW w:w="120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5190.02</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16093.</w:t>
            </w:r>
            <w:r>
              <w:rPr>
                <w:rFonts w:hint="eastAsia" w:ascii="Times New Roman" w:hAnsi="Times New Roman" w:cs="Times New Roman"/>
                <w:color w:val="auto"/>
                <w:sz w:val="21"/>
                <w:szCs w:val="21"/>
              </w:rPr>
              <w:t>20</w:t>
            </w:r>
          </w:p>
        </w:tc>
        <w:tc>
          <w:tcPr>
            <w:tcW w:w="1283"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3844.</w:t>
            </w:r>
            <w:r>
              <w:rPr>
                <w:rFonts w:hint="eastAsia" w:ascii="Times New Roman" w:hAnsi="Times New Roman" w:cs="Times New Roman"/>
                <w:color w:val="auto"/>
                <w:sz w:val="21"/>
                <w:szCs w:val="21"/>
              </w:rPr>
              <w:t>20</w:t>
            </w:r>
          </w:p>
        </w:tc>
      </w:tr>
    </w:tbl>
    <w:p>
      <w:pPr>
        <w:pStyle w:val="25"/>
        <w:tabs>
          <w:tab w:val="right" w:leader="dot" w:pos="8835"/>
        </w:tabs>
        <w:spacing w:line="312" w:lineRule="auto"/>
        <w:ind w:left="0"/>
        <w:rPr>
          <w:rFonts w:ascii="Times New Roman" w:hAnsi="Times New Roman" w:eastAsia="仿宋_GB2312"/>
          <w:sz w:val="28"/>
          <w:szCs w:val="28"/>
        </w:rPr>
      </w:pPr>
    </w:p>
    <w:p>
      <w:pPr>
        <w:ind w:firstLine="560"/>
        <w:rPr>
          <w:rFonts w:ascii="Times New Roman" w:hAnsi="Times New Roman" w:cs="Times New Roman"/>
          <w:color w:val="auto"/>
          <w:szCs w:val="28"/>
        </w:rPr>
        <w:sectPr>
          <w:pgSz w:w="16838" w:h="11906" w:orient="landscape"/>
          <w:pgMar w:top="1587" w:right="1814" w:bottom="1474" w:left="1701" w:header="720" w:footer="1304" w:gutter="0"/>
          <w:cols w:space="0" w:num="1"/>
          <w:docGrid w:linePitch="381" w:charSpace="0"/>
        </w:sectPr>
      </w:pPr>
    </w:p>
    <w:p>
      <w:pPr>
        <w:pStyle w:val="25"/>
        <w:tabs>
          <w:tab w:val="right" w:leader="dot" w:pos="8835"/>
        </w:tabs>
        <w:spacing w:line="312" w:lineRule="auto"/>
        <w:ind w:left="0" w:firstLine="280" w:firstLineChars="100"/>
      </w:pPr>
      <w:r>
        <w:rPr>
          <w:rFonts w:ascii="Times New Roman" w:hAnsi="Times New Roman" w:eastAsia="仿宋_GB2312"/>
          <w:sz w:val="28"/>
          <w:szCs w:val="28"/>
        </w:rPr>
        <w:t>附表</w:t>
      </w:r>
      <w:r>
        <w:rPr>
          <w:rFonts w:hint="eastAsia" w:ascii="Times New Roman" w:hAnsi="Times New Roman" w:eastAsia="仿宋_GB2312"/>
          <w:sz w:val="28"/>
          <w:szCs w:val="28"/>
        </w:rPr>
        <w:t>5</w:t>
      </w:r>
      <w:r>
        <w:rPr>
          <w:rFonts w:ascii="Times New Roman" w:hAnsi="Times New Roman" w:eastAsia="仿宋_GB2312"/>
          <w:sz w:val="28"/>
          <w:szCs w:val="28"/>
        </w:rPr>
        <w:t>：果菜茶种植基地、有机农业示范区清单</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329"/>
        <w:gridCol w:w="5190"/>
        <w:gridCol w:w="200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序号</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园区名称</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所在街镇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济南市济西蔬菜标准园（含石马）</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平安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济南市恒源蔬菜标准园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平安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03</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济南市德鸿蔬菜标准园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平安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04</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济南市现代农业精品园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平安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05</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济南市万源蔬菜标准园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06</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济南市泽燊蔬菜标准园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07</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济南市益康蔬菜标准园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08</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济南市鑫发蔬菜标准园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孝里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09</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济南市恒丰蔬菜标准园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孝里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济南市孝堂山蔬菜标准园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孝里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11</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济南市亚华蔬菜标准园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孝里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济南市兵民蔬菜标准园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文昌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济南市厚源蔬菜标准园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双泉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济南市晋康蔬菜标准园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万德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济南市丰泽源润蔬菜标准园</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万德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济南市卫星菜篮子保供园区</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济南市富翔菜篮子保供园区</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18</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济南市泽泰菜篮子保供园区</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19</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济南市春梅菜篮子保供园区</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孝里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济南市召民添蒂菜篮子保供园区</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21</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山东泰来现代生态农业发展有限公司</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平安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22</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济南金谷农业科技有限公司</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孝里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23</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山东茂源农业技术有限公司</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24</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济南市长清区亚华家庭农场</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孝里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25</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济南青林农业发展有限公司</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平安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26</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山东倚泰锋农业科技发展有限责任公司</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27</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济南市长清区九在家庭农场</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28</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文昌甘蓝基地</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文昌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29</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归德大蒜基地</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30</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济南南湖玉露茶叶科技开发有限公司</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文昌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31</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济南圣虎山茶叶科技开发有限公司</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万德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32</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济南市长清区马套茶叶种植专业合作社</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万德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33</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山东立泰山茶叶科技发展有限公司</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万德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1329"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34</w:t>
            </w:r>
          </w:p>
        </w:tc>
        <w:tc>
          <w:tcPr>
            <w:tcW w:w="5190"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济南莲心雪芽泉城白茶有限公司</w:t>
            </w:r>
          </w:p>
        </w:tc>
        <w:tc>
          <w:tcPr>
            <w:tcW w:w="2002"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万德</w:t>
            </w:r>
          </w:p>
        </w:tc>
      </w:tr>
    </w:tbl>
    <w:p>
      <w:pPr>
        <w:pStyle w:val="10"/>
        <w:ind w:firstLine="560"/>
        <w:rPr>
          <w:color w:val="auto"/>
        </w:rPr>
      </w:pPr>
    </w:p>
    <w:p>
      <w:pPr>
        <w:pStyle w:val="11"/>
        <w:ind w:firstLine="640"/>
        <w:rPr>
          <w:color w:val="auto"/>
        </w:rPr>
        <w:sectPr>
          <w:pgSz w:w="11906" w:h="16838"/>
          <w:pgMar w:top="1814" w:right="1474" w:bottom="1701" w:left="1587" w:header="720" w:footer="1304" w:gutter="0"/>
          <w:cols w:space="0" w:num="1"/>
          <w:docGrid w:linePitch="381" w:charSpace="0"/>
        </w:sectPr>
      </w:pPr>
    </w:p>
    <w:p>
      <w:pPr>
        <w:pStyle w:val="25"/>
        <w:tabs>
          <w:tab w:val="right" w:leader="dot" w:pos="8835"/>
        </w:tabs>
        <w:spacing w:line="312" w:lineRule="auto"/>
        <w:ind w:left="0" w:firstLine="280" w:firstLineChars="100"/>
      </w:pPr>
      <w:r>
        <w:rPr>
          <w:rFonts w:ascii="Times New Roman" w:hAnsi="Times New Roman" w:eastAsia="仿宋_GB2312"/>
          <w:sz w:val="28"/>
          <w:szCs w:val="28"/>
        </w:rPr>
        <w:t>附表</w:t>
      </w:r>
      <w:r>
        <w:rPr>
          <w:rFonts w:hint="eastAsia" w:ascii="Times New Roman" w:hAnsi="Times New Roman" w:eastAsia="仿宋_GB2312"/>
          <w:sz w:val="28"/>
          <w:szCs w:val="28"/>
        </w:rPr>
        <w:t>6</w:t>
      </w:r>
      <w:r>
        <w:rPr>
          <w:rFonts w:ascii="Times New Roman" w:hAnsi="Times New Roman" w:eastAsia="仿宋_GB2312"/>
          <w:sz w:val="28"/>
          <w:szCs w:val="28"/>
        </w:rPr>
        <w:t>：部分规模养殖场粪污发酵处理利用</w:t>
      </w:r>
      <w:r>
        <w:rPr>
          <w:rFonts w:hint="eastAsia" w:ascii="Times New Roman" w:hAnsi="Times New Roman" w:eastAsia="仿宋_GB2312"/>
          <w:sz w:val="28"/>
          <w:szCs w:val="28"/>
        </w:rPr>
        <w:t>统计</w:t>
      </w:r>
      <w:r>
        <w:rPr>
          <w:rFonts w:ascii="Times New Roman" w:hAnsi="Times New Roman" w:eastAsia="仿宋_GB2312"/>
          <w:sz w:val="28"/>
          <w:szCs w:val="28"/>
        </w:rPr>
        <w:t>表</w:t>
      </w:r>
    </w:p>
    <w:tbl>
      <w:tblPr>
        <w:tblStyle w:val="29"/>
        <w:tblpPr w:leftFromText="180" w:rightFromText="180" w:vertAnchor="text" w:tblpX="93" w:tblpY="1"/>
        <w:tblOverlap w:val="never"/>
        <w:tblW w:w="13395" w:type="dxa"/>
        <w:tblInd w:w="91"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50"/>
        <w:gridCol w:w="3870"/>
        <w:gridCol w:w="2580"/>
        <w:gridCol w:w="1245"/>
        <w:gridCol w:w="1476"/>
        <w:gridCol w:w="1409"/>
        <w:gridCol w:w="196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850" w:type="dxa"/>
            <w:vMerge w:val="restart"/>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序号</w:t>
            </w:r>
          </w:p>
        </w:tc>
        <w:tc>
          <w:tcPr>
            <w:tcW w:w="3870" w:type="dxa"/>
            <w:vMerge w:val="restart"/>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规模场名称</w:t>
            </w:r>
          </w:p>
        </w:tc>
        <w:tc>
          <w:tcPr>
            <w:tcW w:w="2580" w:type="dxa"/>
            <w:vMerge w:val="restart"/>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地址</w:t>
            </w:r>
          </w:p>
        </w:tc>
        <w:tc>
          <w:tcPr>
            <w:tcW w:w="1245" w:type="dxa"/>
            <w:vMerge w:val="restart"/>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养殖畜种</w:t>
            </w:r>
          </w:p>
        </w:tc>
        <w:tc>
          <w:tcPr>
            <w:tcW w:w="4850" w:type="dxa"/>
            <w:gridSpan w:val="3"/>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主要粪污贮存处理设施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85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387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258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1245"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粪便处理利用量（吨）</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污水处理利用量（吨）</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其他</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山东鼎泰牧业公司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归德街道西张庄村</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生猪</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38061</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66858</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长形储存发酵车间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济南活力养殖有限公司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归德街道前平村</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生猪</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2700</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5850</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长形储存发酵车间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济南市长清区聚鑫养殖场</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归德街道闫楼村</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蛋鸡</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1715</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长形储存发酵车间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w:t>
            </w:r>
          </w:p>
        </w:tc>
        <w:tc>
          <w:tcPr>
            <w:tcW w:w="3870" w:type="dxa"/>
            <w:tcBorders>
              <w:tl2br w:val="nil"/>
              <w:tr2bl w:val="nil"/>
            </w:tcBorders>
            <w:shd w:val="clear" w:color="auto" w:fill="auto"/>
            <w:noWrap/>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济南市宏祥畜牧养殖有限公司</w:t>
            </w:r>
          </w:p>
        </w:tc>
        <w:tc>
          <w:tcPr>
            <w:tcW w:w="2580" w:type="dxa"/>
            <w:tcBorders>
              <w:tl2br w:val="nil"/>
              <w:tr2bl w:val="nil"/>
            </w:tcBorders>
            <w:shd w:val="clear" w:color="auto" w:fill="auto"/>
            <w:noWrap/>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万德街道马套村</w:t>
            </w:r>
          </w:p>
        </w:tc>
        <w:tc>
          <w:tcPr>
            <w:tcW w:w="1245" w:type="dxa"/>
            <w:tcBorders>
              <w:tl2br w:val="nil"/>
              <w:tr2bl w:val="nil"/>
            </w:tcBorders>
            <w:shd w:val="clear" w:color="auto" w:fill="auto"/>
            <w:noWrap/>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生猪</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1142</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2439</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圆形储存发酵车间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w:t>
            </w:r>
          </w:p>
        </w:tc>
        <w:tc>
          <w:tcPr>
            <w:tcW w:w="3870" w:type="dxa"/>
            <w:tcBorders>
              <w:tl2br w:val="nil"/>
              <w:tr2bl w:val="nil"/>
            </w:tcBorders>
            <w:shd w:val="clear" w:color="auto" w:fill="auto"/>
            <w:noWrap/>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济南吉翔宇农业科技有限公司</w:t>
            </w:r>
          </w:p>
        </w:tc>
        <w:tc>
          <w:tcPr>
            <w:tcW w:w="2580" w:type="dxa"/>
            <w:tcBorders>
              <w:tl2br w:val="nil"/>
              <w:tr2bl w:val="nil"/>
            </w:tcBorders>
            <w:shd w:val="clear" w:color="auto" w:fill="auto"/>
            <w:noWrap/>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万德街道界首村</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蛋鸡</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2541</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圆形储存发酵车间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济南安普瑞禽业科技有限公司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马山镇牛角沟</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蛋鸡</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8514</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长形储存发酵车间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山东乐生园农牧循环科技有限公司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马山镇大河东</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生猪</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6099</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12833</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长形储存发酵车间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济南盛唐和众农牧发展有限公司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马山镇小刘</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猪</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15248</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32082</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长形储存发酵车间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济南希海农业科技有限公司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文昌街道陈庄村</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蛋鸡</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2634</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圆形储存发酵车间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济南勇锋伟烨畜牧养殖有限公司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孝里街道陈峪村</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蛋鸡</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4056</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罐式发酵仓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11</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济南佳宝乳业有限公司生态牧场分公司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孝里街道潘庄村</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奶牛</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长形储存发酵车间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济南鑫盛达生物工程有限公司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平安街道百突泉村村南</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蛋鸡</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882</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罐式发酵仓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济南赛斯家禽科技有限公司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平安街道南桥村南</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蛋鸡</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1356</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长形储存发酵车间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w:t>
            </w:r>
          </w:p>
        </w:tc>
        <w:tc>
          <w:tcPr>
            <w:tcW w:w="387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山东明发福康牧业有限公司</w:t>
            </w:r>
          </w:p>
        </w:tc>
        <w:tc>
          <w:tcPr>
            <w:tcW w:w="258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平安街道东潘村明发路南</w:t>
            </w:r>
          </w:p>
        </w:tc>
        <w:tc>
          <w:tcPr>
            <w:tcW w:w="124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生猪</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1282</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1272</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长形储存发酵车间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5" w:hRule="atLeast"/>
        </w:trPr>
        <w:tc>
          <w:tcPr>
            <w:tcW w:w="8545" w:type="dxa"/>
            <w:gridSpan w:val="4"/>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合计</w:t>
            </w:r>
          </w:p>
        </w:tc>
        <w:tc>
          <w:tcPr>
            <w:tcW w:w="1476"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86230</w:t>
            </w:r>
          </w:p>
        </w:tc>
        <w:tc>
          <w:tcPr>
            <w:tcW w:w="1409"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121334</w:t>
            </w:r>
          </w:p>
        </w:tc>
        <w:tc>
          <w:tcPr>
            <w:tcW w:w="1965"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r>
    </w:tbl>
    <w:p>
      <w:pPr>
        <w:pStyle w:val="25"/>
        <w:tabs>
          <w:tab w:val="right" w:leader="dot" w:pos="8835"/>
        </w:tabs>
        <w:spacing w:line="312" w:lineRule="auto"/>
        <w:ind w:left="0"/>
        <w:rPr>
          <w:rFonts w:ascii="Times New Roman" w:hAnsi="Times New Roman" w:eastAsia="仿宋_GB2312"/>
          <w:sz w:val="28"/>
          <w:szCs w:val="28"/>
        </w:rPr>
        <w:sectPr>
          <w:pgSz w:w="16838" w:h="11906" w:orient="landscape"/>
          <w:pgMar w:top="1587" w:right="1814" w:bottom="1474" w:left="1701" w:header="720" w:footer="1304" w:gutter="0"/>
          <w:cols w:space="0" w:num="1"/>
          <w:docGrid w:linePitch="381" w:charSpace="0"/>
        </w:sectPr>
      </w:pPr>
    </w:p>
    <w:p>
      <w:pPr>
        <w:pStyle w:val="25"/>
        <w:tabs>
          <w:tab w:val="right" w:leader="dot" w:pos="8835"/>
        </w:tabs>
        <w:spacing w:line="312" w:lineRule="auto"/>
        <w:rPr>
          <w:rFonts w:ascii="Times New Roman" w:hAnsi="Times New Roman" w:eastAsia="仿宋_GB2312"/>
          <w:sz w:val="28"/>
          <w:szCs w:val="28"/>
        </w:rPr>
      </w:pPr>
      <w:r>
        <w:rPr>
          <w:rFonts w:ascii="Times New Roman" w:hAnsi="Times New Roman" w:eastAsia="仿宋_GB2312"/>
          <w:sz w:val="28"/>
          <w:szCs w:val="28"/>
        </w:rPr>
        <w:t>附图1：长清区行政区划图</w:t>
      </w:r>
    </w:p>
    <w:p>
      <w:pPr>
        <w:pStyle w:val="18"/>
        <w:ind w:firstLine="562"/>
        <w:rPr>
          <w:rFonts w:hAnsi="Times New Roman" w:cs="Times New Roman"/>
          <w:color w:val="auto"/>
        </w:rPr>
      </w:pPr>
      <w:r>
        <w:rPr>
          <w:rFonts w:hAnsi="Times New Roman" w:cs="Times New Roman"/>
          <w:color w:val="auto"/>
          <w:szCs w:val="28"/>
        </w:rPr>
        <w:drawing>
          <wp:anchor distT="0" distB="0" distL="0" distR="0" simplePos="0" relativeHeight="251659264" behindDoc="0" locked="0" layoutInCell="1" allowOverlap="1">
            <wp:simplePos x="0" y="0"/>
            <wp:positionH relativeFrom="column">
              <wp:posOffset>327025</wp:posOffset>
            </wp:positionH>
            <wp:positionV relativeFrom="paragraph">
              <wp:posOffset>19050</wp:posOffset>
            </wp:positionV>
            <wp:extent cx="5274310" cy="4899660"/>
            <wp:effectExtent l="0" t="0" r="2540" b="15240"/>
            <wp:wrapNone/>
            <wp:docPr id="2" name="图片 2" descr="F:\农村集中式水源地保护区调整2019\长清区水源地保护区调整及划定\图集\报告用图\长清区行政区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农村集中式水源地保护区调整2019\长清区水源地保护区调整及划定\图集\报告用图\长清区行政区划图.jpg"/>
                    <pic:cNvPicPr>
                      <a:picLocks noChangeAspect="1" noChangeArrowheads="1"/>
                    </pic:cNvPicPr>
                  </pic:nvPicPr>
                  <pic:blipFill>
                    <a:blip r:embed="rId37" cstate="print"/>
                    <a:srcRect/>
                    <a:stretch>
                      <a:fillRect/>
                    </a:stretch>
                  </pic:blipFill>
                  <pic:spPr>
                    <a:xfrm>
                      <a:off x="0" y="0"/>
                      <a:ext cx="5274310" cy="4899687"/>
                    </a:xfrm>
                    <a:prstGeom prst="rect">
                      <a:avLst/>
                    </a:prstGeom>
                    <a:noFill/>
                    <a:ln w="9525">
                      <a:noFill/>
                      <a:miter lim="800000"/>
                      <a:headEnd/>
                      <a:tailEnd/>
                    </a:ln>
                  </pic:spPr>
                </pic:pic>
              </a:graphicData>
            </a:graphic>
          </wp:anchor>
        </w:drawing>
      </w:r>
    </w:p>
    <w:p>
      <w:pPr>
        <w:ind w:firstLine="560"/>
        <w:rPr>
          <w:rFonts w:ascii="Times New Roman" w:hAnsi="Times New Roman" w:cs="Times New Roman"/>
          <w:color w:val="auto"/>
        </w:rPr>
      </w:pPr>
    </w:p>
    <w:p>
      <w:pPr>
        <w:pStyle w:val="18"/>
        <w:ind w:firstLine="562"/>
        <w:rPr>
          <w:rFonts w:hAnsi="Times New Roman" w:cs="Times New Roman"/>
          <w:color w:val="auto"/>
        </w:rPr>
        <w:sectPr>
          <w:pgSz w:w="11906" w:h="16838"/>
          <w:pgMar w:top="1814" w:right="1474" w:bottom="1701" w:left="1587" w:header="720" w:footer="1304" w:gutter="0"/>
          <w:cols w:space="0" w:num="1"/>
          <w:docGrid w:linePitch="381" w:charSpace="0"/>
        </w:sectPr>
      </w:pPr>
    </w:p>
    <w:p>
      <w:pPr>
        <w:ind w:firstLine="0" w:firstLineChars="0"/>
        <w:rPr>
          <w:rFonts w:ascii="Times New Roman" w:hAnsi="Times New Roman" w:cs="Times New Roman"/>
          <w:color w:val="auto"/>
        </w:rPr>
      </w:pPr>
    </w:p>
    <w:p>
      <w:pPr>
        <w:pStyle w:val="18"/>
        <w:ind w:firstLine="562"/>
        <w:rPr>
          <w:rFonts w:hAnsi="Times New Roman" w:cs="Times New Roman"/>
          <w:color w:val="auto"/>
        </w:rPr>
      </w:pPr>
    </w:p>
    <w:p>
      <w:pPr>
        <w:ind w:firstLine="560"/>
        <w:rPr>
          <w:rFonts w:ascii="Times New Roman" w:hAnsi="Times New Roman" w:cs="Times New Roman"/>
          <w:color w:val="auto"/>
        </w:rPr>
      </w:pPr>
    </w:p>
    <w:p>
      <w:pPr>
        <w:pStyle w:val="18"/>
        <w:ind w:firstLine="562"/>
        <w:rPr>
          <w:rFonts w:hAnsi="Times New Roman" w:cs="Times New Roman"/>
          <w:color w:val="auto"/>
        </w:rPr>
      </w:pPr>
    </w:p>
    <w:p>
      <w:pPr>
        <w:ind w:firstLine="560"/>
        <w:rPr>
          <w:rFonts w:ascii="Times New Roman" w:hAnsi="Times New Roman" w:cs="Times New Roman"/>
          <w:color w:val="auto"/>
        </w:rPr>
      </w:pPr>
    </w:p>
    <w:p>
      <w:pPr>
        <w:pStyle w:val="18"/>
        <w:ind w:firstLine="562"/>
        <w:rPr>
          <w:rFonts w:hAnsi="Times New Roman" w:cs="Times New Roman"/>
          <w:color w:val="auto"/>
        </w:rPr>
      </w:pPr>
    </w:p>
    <w:p>
      <w:pPr>
        <w:ind w:firstLine="560"/>
        <w:rPr>
          <w:rFonts w:ascii="Times New Roman" w:hAnsi="Times New Roman" w:cs="Times New Roman"/>
          <w:color w:val="auto"/>
        </w:rPr>
      </w:pPr>
    </w:p>
    <w:p>
      <w:pPr>
        <w:pStyle w:val="18"/>
        <w:ind w:firstLine="562"/>
        <w:rPr>
          <w:rFonts w:hAnsi="Times New Roman" w:cs="Times New Roman"/>
          <w:color w:val="auto"/>
        </w:rPr>
      </w:pPr>
    </w:p>
    <w:p>
      <w:pPr>
        <w:ind w:firstLine="560"/>
        <w:rPr>
          <w:rFonts w:ascii="Times New Roman" w:hAnsi="Times New Roman" w:cs="Times New Roman"/>
          <w:color w:val="auto"/>
        </w:rPr>
      </w:pPr>
    </w:p>
    <w:p>
      <w:pPr>
        <w:pStyle w:val="18"/>
        <w:ind w:firstLine="562"/>
        <w:rPr>
          <w:rFonts w:hAnsi="Times New Roman" w:cs="Times New Roman"/>
          <w:color w:val="auto"/>
        </w:rPr>
      </w:pPr>
    </w:p>
    <w:p>
      <w:pPr>
        <w:ind w:firstLine="560"/>
        <w:rPr>
          <w:rFonts w:ascii="Times New Roman" w:hAnsi="Times New Roman" w:cs="Times New Roman"/>
          <w:color w:val="auto"/>
        </w:rPr>
      </w:pPr>
    </w:p>
    <w:p>
      <w:pPr>
        <w:pStyle w:val="18"/>
        <w:ind w:firstLine="562"/>
        <w:rPr>
          <w:rFonts w:hAnsi="Times New Roman" w:cs="Times New Roman"/>
          <w:color w:val="auto"/>
        </w:rPr>
      </w:pPr>
    </w:p>
    <w:p>
      <w:pPr>
        <w:ind w:firstLine="482"/>
        <w:jc w:val="center"/>
        <w:rPr>
          <w:rFonts w:ascii="Times New Roman" w:hAnsi="Times New Roman" w:cs="Times New Roman"/>
          <w:b/>
          <w:bCs/>
          <w:color w:val="auto"/>
          <w:sz w:val="24"/>
          <w:szCs w:val="21"/>
        </w:rPr>
      </w:pPr>
    </w:p>
    <w:p>
      <w:pPr>
        <w:ind w:firstLine="480"/>
        <w:rPr>
          <w:rFonts w:ascii="Times New Roman" w:hAnsi="Times New Roman" w:cs="Times New Roman"/>
          <w:color w:val="auto"/>
          <w:sz w:val="24"/>
          <w:szCs w:val="24"/>
        </w:rPr>
        <w:sectPr>
          <w:headerReference r:id="rId30" w:type="first"/>
          <w:footerReference r:id="rId33" w:type="first"/>
          <w:headerReference r:id="rId28" w:type="default"/>
          <w:footerReference r:id="rId31" w:type="default"/>
          <w:headerReference r:id="rId29" w:type="even"/>
          <w:footerReference r:id="rId32" w:type="even"/>
          <w:type w:val="continuous"/>
          <w:pgSz w:w="11906" w:h="16838"/>
          <w:pgMar w:top="1814" w:right="1474" w:bottom="1701" w:left="1587" w:header="720" w:footer="1417" w:gutter="0"/>
          <w:cols w:space="0" w:num="1"/>
        </w:sectPr>
      </w:pPr>
      <w:r>
        <w:rPr>
          <w:rFonts w:ascii="Times New Roman" w:hAnsi="Times New Roman" w:cs="Times New Roman"/>
          <w:color w:val="auto"/>
          <w:sz w:val="24"/>
          <w:szCs w:val="24"/>
        </w:rPr>
        <w:t>长清区辖文昌街道、平安街道、崮云湖街道、五峰山街道，归德街道、万德街道、张夏街道、孝里街道、双泉镇、马山镇，共8个街道、2个镇，</w:t>
      </w:r>
      <w:r>
        <w:rPr>
          <w:rFonts w:hint="eastAsia" w:ascii="Times New Roman" w:hAnsi="Times New Roman" w:cs="Times New Roman"/>
          <w:color w:val="auto"/>
          <w:sz w:val="24"/>
          <w:szCs w:val="24"/>
        </w:rPr>
        <w:t>651</w:t>
      </w:r>
      <w:r>
        <w:rPr>
          <w:rFonts w:ascii="Times New Roman" w:hAnsi="Times New Roman" w:cs="Times New Roman"/>
          <w:color w:val="auto"/>
          <w:sz w:val="24"/>
          <w:szCs w:val="24"/>
        </w:rPr>
        <w:t>个</w:t>
      </w:r>
      <w:r>
        <w:rPr>
          <w:rFonts w:hint="eastAsia" w:ascii="Times New Roman" w:hAnsi="Times New Roman" w:cs="Times New Roman"/>
          <w:color w:val="auto"/>
          <w:sz w:val="24"/>
          <w:szCs w:val="24"/>
        </w:rPr>
        <w:t>村居</w:t>
      </w:r>
      <w:r>
        <w:rPr>
          <w:rFonts w:ascii="Times New Roman" w:hAnsi="Times New Roman" w:cs="Times New Roman"/>
          <w:color w:val="auto"/>
          <w:sz w:val="24"/>
          <w:szCs w:val="24"/>
        </w:rPr>
        <w:t>。2021年末，全区常住人口62.42万人。</w:t>
      </w:r>
    </w:p>
    <w:p>
      <w:pPr>
        <w:pStyle w:val="25"/>
        <w:tabs>
          <w:tab w:val="right" w:leader="dot" w:pos="8835"/>
        </w:tabs>
        <w:spacing w:line="312" w:lineRule="auto"/>
        <w:ind w:left="0"/>
        <w:rPr>
          <w:rFonts w:ascii="Times New Roman" w:hAnsi="Times New Roman" w:eastAsia="仿宋_GB2312"/>
          <w:sz w:val="28"/>
          <w:szCs w:val="28"/>
        </w:rPr>
      </w:pPr>
      <w:r>
        <w:rPr>
          <w:rFonts w:ascii="Times New Roman" w:hAnsi="Times New Roman" w:eastAsia="仿宋_GB2312"/>
          <w:sz w:val="28"/>
          <w:szCs w:val="28"/>
        </w:rPr>
        <w:t>附图2：长清区</w:t>
      </w:r>
      <w:r>
        <w:rPr>
          <w:rFonts w:hint="eastAsia" w:ascii="Times New Roman" w:hAnsi="Times New Roman" w:eastAsia="仿宋_GB2312"/>
          <w:sz w:val="28"/>
          <w:szCs w:val="28"/>
        </w:rPr>
        <w:t>规模养殖场、养殖户</w:t>
      </w:r>
      <w:r>
        <w:rPr>
          <w:rFonts w:ascii="Times New Roman" w:hAnsi="Times New Roman" w:eastAsia="仿宋_GB2312"/>
          <w:sz w:val="28"/>
          <w:szCs w:val="28"/>
        </w:rPr>
        <w:t>分布图</w:t>
      </w:r>
    </w:p>
    <w:p>
      <w:pPr>
        <w:pStyle w:val="25"/>
        <w:tabs>
          <w:tab w:val="right" w:leader="dot" w:pos="8835"/>
        </w:tabs>
        <w:spacing w:line="312" w:lineRule="auto"/>
      </w:pPr>
    </w:p>
    <w:p>
      <w:pPr>
        <w:pStyle w:val="25"/>
        <w:tabs>
          <w:tab w:val="right" w:leader="dot" w:pos="8835"/>
        </w:tabs>
        <w:spacing w:line="312" w:lineRule="auto"/>
      </w:pPr>
      <w:r>
        <w:drawing>
          <wp:anchor distT="0" distB="0" distL="114300" distR="114300" simplePos="0" relativeHeight="251680768" behindDoc="1" locked="0" layoutInCell="1" allowOverlap="1">
            <wp:simplePos x="0" y="0"/>
            <wp:positionH relativeFrom="column">
              <wp:posOffset>-391160</wp:posOffset>
            </wp:positionH>
            <wp:positionV relativeFrom="paragraph">
              <wp:posOffset>200660</wp:posOffset>
            </wp:positionV>
            <wp:extent cx="6737350" cy="6404610"/>
            <wp:effectExtent l="0" t="0" r="6350" b="15240"/>
            <wp:wrapTight wrapText="bothSides">
              <wp:wrapPolygon>
                <wp:start x="0" y="0"/>
                <wp:lineTo x="0" y="21523"/>
                <wp:lineTo x="21559" y="21523"/>
                <wp:lineTo x="2155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cstate="print"/>
                    <a:stretch>
                      <a:fillRect/>
                    </a:stretch>
                  </pic:blipFill>
                  <pic:spPr>
                    <a:xfrm>
                      <a:off x="0" y="0"/>
                      <a:ext cx="6737350" cy="6404610"/>
                    </a:xfrm>
                    <a:prstGeom prst="rect">
                      <a:avLst/>
                    </a:prstGeom>
                    <a:noFill/>
                    <a:ln>
                      <a:noFill/>
                    </a:ln>
                  </pic:spPr>
                </pic:pic>
              </a:graphicData>
            </a:graphic>
          </wp:anchor>
        </w:drawing>
      </w:r>
    </w:p>
    <w:p>
      <w:pPr>
        <w:pStyle w:val="25"/>
        <w:tabs>
          <w:tab w:val="right" w:leader="dot" w:pos="8835"/>
        </w:tabs>
        <w:spacing w:line="312" w:lineRule="auto"/>
        <w:ind w:left="0"/>
        <w:jc w:val="center"/>
        <w:rPr>
          <w:rFonts w:hint="eastAsia" w:ascii="Times New Roman" w:hAnsi="Times New Roman" w:eastAsia="仿宋_GB2312"/>
          <w:sz w:val="28"/>
          <w:szCs w:val="28"/>
        </w:rPr>
      </w:pPr>
    </w:p>
    <w:p>
      <w:pPr>
        <w:pStyle w:val="25"/>
        <w:tabs>
          <w:tab w:val="right" w:leader="dot" w:pos="8835"/>
        </w:tabs>
        <w:spacing w:line="312" w:lineRule="auto"/>
        <w:ind w:left="0"/>
        <w:jc w:val="center"/>
        <w:rPr>
          <w:rFonts w:ascii="Times New Roman" w:hAnsi="Times New Roman" w:eastAsia="仿宋_GB2312"/>
          <w:sz w:val="28"/>
          <w:szCs w:val="28"/>
        </w:rPr>
      </w:pPr>
      <w:r>
        <w:rPr>
          <w:rFonts w:hint="eastAsia" w:ascii="Times New Roman" w:hAnsi="Times New Roman" w:eastAsia="仿宋_GB2312"/>
          <w:sz w:val="28"/>
          <w:szCs w:val="28"/>
        </w:rPr>
        <w:t>附图2-1：长清区畜禽规模养殖场分布图</w:t>
      </w:r>
    </w:p>
    <w:p>
      <w:pPr>
        <w:pStyle w:val="25"/>
        <w:tabs>
          <w:tab w:val="right" w:leader="dot" w:pos="8835"/>
        </w:tabs>
        <w:spacing w:line="312" w:lineRule="auto"/>
      </w:pPr>
    </w:p>
    <w:p>
      <w:pPr>
        <w:ind w:firstLine="0" w:firstLineChars="0"/>
        <w:jc w:val="both"/>
      </w:pPr>
    </w:p>
    <w:p>
      <w:pPr>
        <w:ind w:firstLine="0" w:firstLineChars="0"/>
        <w:jc w:val="both"/>
      </w:pPr>
    </w:p>
    <w:p>
      <w:pPr>
        <w:ind w:firstLine="0" w:firstLineChars="0"/>
        <w:jc w:val="both"/>
      </w:pPr>
    </w:p>
    <w:p>
      <w:pPr>
        <w:ind w:firstLine="0" w:firstLineChars="0"/>
        <w:jc w:val="both"/>
      </w:pPr>
      <w:r>
        <w:rPr>
          <w:rFonts w:hint="eastAsia"/>
        </w:rPr>
        <w:drawing>
          <wp:inline distT="0" distB="0" distL="114300" distR="114300">
            <wp:extent cx="6435725" cy="5433060"/>
            <wp:effectExtent l="0" t="0" r="3175" b="15240"/>
            <wp:docPr id="17" name="图片 17" descr="d26709a838168353925d924d56b8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6709a838168353925d924d56b8c69"/>
                    <pic:cNvPicPr>
                      <a:picLocks noChangeAspect="1"/>
                    </pic:cNvPicPr>
                  </pic:nvPicPr>
                  <pic:blipFill>
                    <a:blip r:embed="rId39" cstate="print"/>
                    <a:stretch>
                      <a:fillRect/>
                    </a:stretch>
                  </pic:blipFill>
                  <pic:spPr>
                    <a:xfrm>
                      <a:off x="0" y="0"/>
                      <a:ext cx="6435725" cy="5433060"/>
                    </a:xfrm>
                    <a:prstGeom prst="rect">
                      <a:avLst/>
                    </a:prstGeom>
                  </pic:spPr>
                </pic:pic>
              </a:graphicData>
            </a:graphic>
          </wp:inline>
        </w:drawing>
      </w:r>
    </w:p>
    <w:p>
      <w:pPr>
        <w:pStyle w:val="25"/>
        <w:tabs>
          <w:tab w:val="right" w:leader="dot" w:pos="8835"/>
        </w:tabs>
        <w:spacing w:line="312" w:lineRule="auto"/>
        <w:ind w:left="0"/>
        <w:jc w:val="center"/>
        <w:rPr>
          <w:rFonts w:ascii="Times New Roman" w:hAnsi="Times New Roman" w:eastAsia="仿宋_GB2312"/>
          <w:sz w:val="28"/>
          <w:szCs w:val="28"/>
        </w:rPr>
      </w:pPr>
      <w:r>
        <w:rPr>
          <w:rFonts w:hint="eastAsia" w:ascii="Times New Roman" w:hAnsi="Times New Roman" w:eastAsia="仿宋_GB2312"/>
          <w:sz w:val="28"/>
          <w:szCs w:val="28"/>
        </w:rPr>
        <w:t>附图2-2：长清区畜禽养殖户分布图</w:t>
      </w:r>
    </w:p>
    <w:p>
      <w:pPr>
        <w:pStyle w:val="25"/>
        <w:tabs>
          <w:tab w:val="right" w:leader="dot" w:pos="8835"/>
        </w:tabs>
        <w:spacing w:line="312" w:lineRule="auto"/>
        <w:ind w:left="0"/>
        <w:rPr>
          <w:rFonts w:ascii="Times New Roman" w:hAnsi="Times New Roman" w:eastAsia="仿宋_GB2312"/>
          <w:sz w:val="28"/>
          <w:szCs w:val="28"/>
        </w:rPr>
      </w:pPr>
    </w:p>
    <w:p>
      <w:pPr>
        <w:pStyle w:val="25"/>
        <w:tabs>
          <w:tab w:val="right" w:leader="dot" w:pos="8835"/>
        </w:tabs>
        <w:spacing w:line="312" w:lineRule="auto"/>
        <w:ind w:left="0"/>
        <w:rPr>
          <w:rFonts w:ascii="Times New Roman" w:hAnsi="Times New Roman" w:eastAsia="仿宋_GB2312"/>
          <w:sz w:val="28"/>
          <w:szCs w:val="28"/>
        </w:rPr>
      </w:pPr>
    </w:p>
    <w:p>
      <w:pPr>
        <w:pStyle w:val="25"/>
        <w:tabs>
          <w:tab w:val="right" w:leader="dot" w:pos="8835"/>
        </w:tabs>
        <w:spacing w:line="312" w:lineRule="auto"/>
        <w:ind w:left="0"/>
        <w:rPr>
          <w:rFonts w:ascii="Times New Roman" w:hAnsi="Times New Roman" w:eastAsia="仿宋_GB2312"/>
          <w:sz w:val="28"/>
          <w:szCs w:val="28"/>
        </w:rPr>
      </w:pPr>
    </w:p>
    <w:p>
      <w:pPr>
        <w:pStyle w:val="25"/>
        <w:tabs>
          <w:tab w:val="right" w:leader="dot" w:pos="8835"/>
        </w:tabs>
        <w:spacing w:line="312" w:lineRule="auto"/>
        <w:ind w:left="0"/>
        <w:rPr>
          <w:rFonts w:ascii="Times New Roman" w:hAnsi="Times New Roman" w:eastAsia="仿宋_GB2312"/>
          <w:sz w:val="28"/>
          <w:szCs w:val="28"/>
        </w:rPr>
      </w:pPr>
    </w:p>
    <w:p>
      <w:pPr>
        <w:pStyle w:val="25"/>
        <w:tabs>
          <w:tab w:val="right" w:leader="dot" w:pos="8835"/>
        </w:tabs>
        <w:spacing w:line="312" w:lineRule="auto"/>
        <w:ind w:left="0"/>
        <w:rPr>
          <w:rFonts w:ascii="Times New Roman" w:hAnsi="Times New Roman" w:eastAsia="仿宋_GB2312"/>
          <w:sz w:val="28"/>
          <w:szCs w:val="28"/>
        </w:rPr>
      </w:pPr>
      <w:r>
        <w:rPr>
          <w:rFonts w:ascii="Times New Roman" w:hAnsi="Times New Roman" w:eastAsia="仿宋_GB2312"/>
          <w:sz w:val="28"/>
          <w:szCs w:val="28"/>
        </w:rPr>
        <w:t>附图</w:t>
      </w:r>
      <w:r>
        <w:rPr>
          <w:rFonts w:hint="eastAsia" w:ascii="Times New Roman" w:hAnsi="Times New Roman" w:eastAsia="仿宋_GB2312"/>
          <w:sz w:val="28"/>
          <w:szCs w:val="28"/>
        </w:rPr>
        <w:t>3</w:t>
      </w:r>
      <w:r>
        <w:rPr>
          <w:rFonts w:ascii="Times New Roman" w:hAnsi="Times New Roman" w:eastAsia="仿宋_GB2312"/>
          <w:sz w:val="28"/>
          <w:szCs w:val="28"/>
        </w:rPr>
        <w:t>：长清区耕地、园地、林地、草地分布图</w:t>
      </w:r>
    </w:p>
    <w:p>
      <w:pPr>
        <w:pStyle w:val="25"/>
        <w:tabs>
          <w:tab w:val="right" w:leader="dot" w:pos="8835"/>
        </w:tabs>
        <w:spacing w:line="312" w:lineRule="auto"/>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5330825" cy="6219825"/>
            <wp:effectExtent l="0" t="0" r="3175" b="9525"/>
            <wp:docPr id="4" name="图片 4" descr="长清区土地利用现状图（耕、园林、草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长清区土地利用现状图（耕、园林、草等）"/>
                    <pic:cNvPicPr>
                      <a:picLocks noChangeAspect="1"/>
                    </pic:cNvPicPr>
                  </pic:nvPicPr>
                  <pic:blipFill>
                    <a:blip r:embed="rId40" cstate="print"/>
                    <a:stretch>
                      <a:fillRect/>
                    </a:stretch>
                  </pic:blipFill>
                  <pic:spPr>
                    <a:xfrm>
                      <a:off x="0" y="0"/>
                      <a:ext cx="5330825" cy="6219825"/>
                    </a:xfrm>
                    <a:prstGeom prst="rect">
                      <a:avLst/>
                    </a:prstGeom>
                  </pic:spPr>
                </pic:pic>
              </a:graphicData>
            </a:graphic>
          </wp:inline>
        </w:drawing>
      </w:r>
    </w:p>
    <w:p>
      <w:pPr>
        <w:ind w:firstLine="480"/>
        <w:rPr>
          <w:rFonts w:ascii="Times New Roman" w:hAnsi="Times New Roman" w:cs="Times New Roman"/>
          <w:color w:val="auto"/>
          <w:sz w:val="24"/>
          <w:szCs w:val="24"/>
        </w:rPr>
      </w:pPr>
      <w:r>
        <w:rPr>
          <w:rFonts w:ascii="Times New Roman" w:hAnsi="Times New Roman" w:cs="Times New Roman"/>
          <w:color w:val="auto"/>
          <w:sz w:val="24"/>
          <w:szCs w:val="24"/>
        </w:rPr>
        <w:t>根据2019年8月第三次全国土地利用调查成果，长清区总土地面积为</w:t>
      </w:r>
      <w:r>
        <w:rPr>
          <w:rFonts w:hint="eastAsia" w:ascii="Times New Roman" w:hAnsi="Times New Roman" w:cs="Times New Roman"/>
          <w:color w:val="auto"/>
          <w:sz w:val="24"/>
          <w:szCs w:val="24"/>
        </w:rPr>
        <w:t>1209</w:t>
      </w:r>
      <w:r>
        <w:rPr>
          <w:rFonts w:ascii="Times New Roman" w:hAnsi="Times New Roman" w:cs="Times New Roman"/>
          <w:color w:val="auto"/>
          <w:sz w:val="24"/>
          <w:szCs w:val="24"/>
        </w:rPr>
        <w:t>平方千米。其中林地占地面积最大为</w:t>
      </w:r>
      <w:r>
        <w:rPr>
          <w:rFonts w:hint="eastAsia" w:ascii="Times New Roman" w:hAnsi="Times New Roman" w:cs="Times New Roman"/>
          <w:color w:val="auto"/>
          <w:sz w:val="24"/>
          <w:szCs w:val="24"/>
        </w:rPr>
        <w:t>416.44</w:t>
      </w:r>
      <w:r>
        <w:rPr>
          <w:rFonts w:ascii="Times New Roman" w:hAnsi="Times New Roman" w:cs="Times New Roman"/>
          <w:color w:val="auto"/>
          <w:sz w:val="24"/>
          <w:szCs w:val="24"/>
        </w:rPr>
        <w:t>平方千米，约占总面积的3</w:t>
      </w:r>
      <w:r>
        <w:rPr>
          <w:rFonts w:hint="eastAsia" w:ascii="Times New Roman" w:hAnsi="Times New Roman" w:cs="Times New Roman"/>
          <w:color w:val="auto"/>
          <w:sz w:val="24"/>
          <w:szCs w:val="24"/>
        </w:rPr>
        <w:t>5.3</w:t>
      </w:r>
      <w:r>
        <w:rPr>
          <w:rFonts w:ascii="Times New Roman" w:hAnsi="Times New Roman" w:cs="Times New Roman"/>
          <w:color w:val="auto"/>
          <w:sz w:val="24"/>
          <w:szCs w:val="24"/>
        </w:rPr>
        <w:t>%，其次为水浇地占地面积</w:t>
      </w:r>
      <w:r>
        <w:rPr>
          <w:rFonts w:hint="eastAsia" w:ascii="Times New Roman" w:hAnsi="Times New Roman" w:cs="Times New Roman"/>
          <w:color w:val="auto"/>
          <w:sz w:val="24"/>
          <w:szCs w:val="24"/>
        </w:rPr>
        <w:t>167.24</w:t>
      </w:r>
      <w:r>
        <w:rPr>
          <w:rFonts w:ascii="Times New Roman" w:hAnsi="Times New Roman" w:cs="Times New Roman"/>
          <w:color w:val="auto"/>
          <w:sz w:val="24"/>
          <w:szCs w:val="24"/>
        </w:rPr>
        <w:t>平方千米，约占总面积的</w:t>
      </w:r>
      <w:r>
        <w:rPr>
          <w:rFonts w:hint="eastAsia" w:ascii="Times New Roman" w:hAnsi="Times New Roman" w:cs="Times New Roman"/>
          <w:color w:val="auto"/>
          <w:sz w:val="24"/>
          <w:szCs w:val="24"/>
        </w:rPr>
        <w:t>14.20</w:t>
      </w:r>
      <w:r>
        <w:rPr>
          <w:rFonts w:ascii="Times New Roman" w:hAnsi="Times New Roman" w:cs="Times New Roman"/>
          <w:color w:val="auto"/>
          <w:sz w:val="24"/>
          <w:szCs w:val="24"/>
        </w:rPr>
        <w:t>%，旱地占地面积约</w:t>
      </w:r>
      <w:r>
        <w:rPr>
          <w:rFonts w:hint="eastAsia" w:ascii="Times New Roman" w:hAnsi="Times New Roman" w:cs="Times New Roman"/>
          <w:color w:val="auto"/>
          <w:sz w:val="24"/>
          <w:szCs w:val="24"/>
        </w:rPr>
        <w:t>138.23</w:t>
      </w:r>
      <w:r>
        <w:rPr>
          <w:rFonts w:ascii="Times New Roman" w:hAnsi="Times New Roman" w:cs="Times New Roman"/>
          <w:color w:val="auto"/>
          <w:sz w:val="24"/>
          <w:szCs w:val="24"/>
        </w:rPr>
        <w:t>平方千米，约占总面积的</w:t>
      </w:r>
      <w:r>
        <w:rPr>
          <w:rFonts w:hint="eastAsia" w:ascii="Times New Roman" w:hAnsi="Times New Roman" w:cs="Times New Roman"/>
          <w:color w:val="auto"/>
          <w:sz w:val="24"/>
          <w:szCs w:val="24"/>
        </w:rPr>
        <w:t>11.73</w:t>
      </w:r>
      <w:r>
        <w:rPr>
          <w:rFonts w:ascii="Times New Roman" w:hAnsi="Times New Roman" w:cs="Times New Roman"/>
          <w:color w:val="auto"/>
          <w:sz w:val="24"/>
          <w:szCs w:val="24"/>
        </w:rPr>
        <w:t>%。农村宅基地占地面积约64.24平方千米，约占总面积的5.45%。</w:t>
      </w:r>
    </w:p>
    <w:p>
      <w:pPr>
        <w:pStyle w:val="25"/>
        <w:tabs>
          <w:tab w:val="right" w:leader="dot" w:pos="8835"/>
        </w:tabs>
        <w:spacing w:line="312" w:lineRule="auto"/>
        <w:rPr>
          <w:rFonts w:hint="eastAsia" w:ascii="Times New Roman" w:hAnsi="Times New Roman" w:eastAsia="仿宋_GB2312"/>
          <w:sz w:val="28"/>
          <w:szCs w:val="28"/>
        </w:rPr>
      </w:pPr>
    </w:p>
    <w:p>
      <w:pPr>
        <w:pStyle w:val="25"/>
        <w:tabs>
          <w:tab w:val="right" w:leader="dot" w:pos="8835"/>
        </w:tabs>
        <w:spacing w:line="312" w:lineRule="auto"/>
        <w:rPr>
          <w:rFonts w:ascii="Times New Roman" w:hAnsi="Times New Roman" w:eastAsia="仿宋_GB2312"/>
          <w:sz w:val="28"/>
          <w:szCs w:val="28"/>
        </w:rPr>
      </w:pPr>
      <w:r>
        <w:rPr>
          <w:rFonts w:ascii="Times New Roman" w:hAnsi="Times New Roman" w:eastAsia="仿宋_GB2312"/>
          <w:sz w:val="28"/>
          <w:szCs w:val="28"/>
        </w:rPr>
        <w:t>附图</w:t>
      </w:r>
      <w:r>
        <w:rPr>
          <w:rFonts w:hint="eastAsia" w:ascii="Times New Roman" w:hAnsi="Times New Roman" w:eastAsia="仿宋_GB2312"/>
          <w:sz w:val="28"/>
          <w:szCs w:val="28"/>
        </w:rPr>
        <w:t>4</w:t>
      </w:r>
      <w:r>
        <w:rPr>
          <w:rFonts w:ascii="Times New Roman" w:hAnsi="Times New Roman" w:eastAsia="仿宋_GB2312"/>
          <w:sz w:val="28"/>
          <w:szCs w:val="28"/>
        </w:rPr>
        <w:t>：长清区水功能区划图</w:t>
      </w:r>
    </w:p>
    <w:p>
      <w:pPr>
        <w:pStyle w:val="25"/>
        <w:tabs>
          <w:tab w:val="right" w:leader="dot" w:pos="8835"/>
        </w:tabs>
        <w:spacing w:line="312" w:lineRule="auto"/>
        <w:jc w:val="center"/>
        <w:rPr>
          <w:rFonts w:ascii="Times New Roman" w:hAnsi="Times New Roman" w:eastAsia="仿宋_GB2312"/>
          <w:sz w:val="28"/>
          <w:szCs w:val="28"/>
        </w:rPr>
      </w:pPr>
      <w:r>
        <w:rPr>
          <w:rFonts w:ascii="Times New Roman" w:hAnsi="Times New Roman"/>
        </w:rPr>
        <w:drawing>
          <wp:inline distT="0" distB="0" distL="114300" distR="114300">
            <wp:extent cx="5231130" cy="6304280"/>
            <wp:effectExtent l="0" t="0" r="7620" b="1270"/>
            <wp:docPr id="143" name="图片 143" descr="1575622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575622851(1)"/>
                    <pic:cNvPicPr>
                      <a:picLocks noChangeAspect="1"/>
                    </pic:cNvPicPr>
                  </pic:nvPicPr>
                  <pic:blipFill>
                    <a:blip r:embed="rId41" cstate="print"/>
                    <a:stretch>
                      <a:fillRect/>
                    </a:stretch>
                  </pic:blipFill>
                  <pic:spPr>
                    <a:xfrm>
                      <a:off x="0" y="0"/>
                      <a:ext cx="5231130" cy="6304280"/>
                    </a:xfrm>
                    <a:prstGeom prst="rect">
                      <a:avLst/>
                    </a:prstGeom>
                  </pic:spPr>
                </pic:pic>
              </a:graphicData>
            </a:graphic>
          </wp:inline>
        </w:drawing>
      </w:r>
    </w:p>
    <w:p>
      <w:pPr>
        <w:ind w:firstLine="480"/>
        <w:rPr>
          <w:rFonts w:ascii="Times New Roman" w:hAnsi="Times New Roman" w:cs="Times New Roman"/>
          <w:color w:val="auto"/>
          <w:sz w:val="24"/>
          <w:szCs w:val="24"/>
        </w:rPr>
        <w:sectPr>
          <w:headerReference r:id="rId34" w:type="default"/>
          <w:footerReference r:id="rId35" w:type="default"/>
          <w:pgSz w:w="11906" w:h="16838"/>
          <w:pgMar w:top="1814" w:right="1474" w:bottom="1701" w:left="1587" w:header="720" w:footer="1304" w:gutter="0"/>
          <w:cols w:space="0" w:num="1"/>
          <w:docGrid w:linePitch="381" w:charSpace="0"/>
        </w:sectPr>
      </w:pPr>
      <w:r>
        <w:rPr>
          <w:rFonts w:ascii="Times New Roman" w:hAnsi="Times New Roman" w:cs="Times New Roman"/>
          <w:color w:val="auto"/>
          <w:sz w:val="24"/>
          <w:szCs w:val="24"/>
        </w:rPr>
        <w:t>长清区在济南市生态功能区划中主要属于南部山区生态功能区及黄河沿岸湿地保育生态功能区；水功能区包括了崮头水库、崮云湖水库、钓鱼台水库、石店水库、武家水库等景观用水区以及济平干渠、玉清湖水库水库饮用水水源一级水源地保护区。</w:t>
      </w:r>
    </w:p>
    <w:p>
      <w:pPr>
        <w:pStyle w:val="25"/>
        <w:tabs>
          <w:tab w:val="right" w:leader="dot" w:pos="8835"/>
        </w:tabs>
        <w:spacing w:line="312" w:lineRule="auto"/>
        <w:rPr>
          <w:rFonts w:ascii="Times New Roman" w:hAnsi="Times New Roman" w:eastAsia="仿宋_GB2312"/>
          <w:sz w:val="28"/>
          <w:szCs w:val="28"/>
        </w:rPr>
      </w:pPr>
      <w:r>
        <w:rPr>
          <w:rFonts w:ascii="Times New Roman" w:hAnsi="Times New Roman" w:eastAsia="仿宋_GB2312"/>
          <w:sz w:val="28"/>
          <w:szCs w:val="28"/>
        </w:rPr>
        <w:t>附图</w:t>
      </w:r>
      <w:r>
        <w:rPr>
          <w:rFonts w:hint="eastAsia" w:ascii="Times New Roman" w:hAnsi="Times New Roman" w:eastAsia="仿宋_GB2312"/>
          <w:sz w:val="28"/>
          <w:szCs w:val="28"/>
        </w:rPr>
        <w:t>5</w:t>
      </w:r>
      <w:r>
        <w:rPr>
          <w:rFonts w:ascii="Times New Roman" w:hAnsi="Times New Roman" w:eastAsia="仿宋_GB2312"/>
          <w:sz w:val="28"/>
          <w:szCs w:val="28"/>
        </w:rPr>
        <w:t>：长清区</w:t>
      </w:r>
      <w:r>
        <w:rPr>
          <w:rFonts w:hint="eastAsia" w:ascii="Times New Roman" w:hAnsi="Times New Roman" w:eastAsia="仿宋_GB2312"/>
          <w:sz w:val="28"/>
          <w:szCs w:val="28"/>
        </w:rPr>
        <w:t>畜禽养殖禁养区优化调整方案及分布</w:t>
      </w:r>
      <w:r>
        <w:rPr>
          <w:rFonts w:ascii="Times New Roman" w:hAnsi="Times New Roman" w:eastAsia="仿宋_GB2312"/>
          <w:sz w:val="28"/>
          <w:szCs w:val="28"/>
        </w:rPr>
        <w:t>图</w:t>
      </w:r>
    </w:p>
    <w:p>
      <w:pPr>
        <w:pStyle w:val="25"/>
        <w:tabs>
          <w:tab w:val="right" w:leader="dot" w:pos="8835"/>
        </w:tabs>
        <w:spacing w:line="312" w:lineRule="auto"/>
        <w:rPr>
          <w:rFonts w:ascii="Times New Roman" w:hAnsi="Times New Roman" w:eastAsia="仿宋_GB2312"/>
          <w:sz w:val="28"/>
          <w:szCs w:val="28"/>
        </w:rPr>
      </w:pPr>
      <w:r>
        <w:rPr>
          <w:rFonts w:hint="eastAsia" w:ascii="Times New Roman" w:hAnsi="Times New Roman" w:eastAsia="仿宋_GB2312"/>
          <w:sz w:val="28"/>
          <w:szCs w:val="28"/>
        </w:rPr>
        <w:drawing>
          <wp:inline distT="0" distB="0" distL="114300" distR="114300">
            <wp:extent cx="5610225" cy="7783195"/>
            <wp:effectExtent l="0" t="0" r="9525" b="8255"/>
            <wp:docPr id="18" name="图片 1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1"/>
                    <pic:cNvPicPr>
                      <a:picLocks noChangeAspect="1"/>
                    </pic:cNvPicPr>
                  </pic:nvPicPr>
                  <pic:blipFill>
                    <a:blip r:embed="rId42" cstate="print"/>
                    <a:stretch>
                      <a:fillRect/>
                    </a:stretch>
                  </pic:blipFill>
                  <pic:spPr>
                    <a:xfrm>
                      <a:off x="0" y="0"/>
                      <a:ext cx="5610225" cy="7783195"/>
                    </a:xfrm>
                    <a:prstGeom prst="rect">
                      <a:avLst/>
                    </a:prstGeom>
                  </pic:spPr>
                </pic:pic>
              </a:graphicData>
            </a:graphic>
          </wp:inline>
        </w:drawing>
      </w:r>
    </w:p>
    <w:p>
      <w:pPr>
        <w:ind w:firstLine="560"/>
        <w:rPr>
          <w:rFonts w:ascii="Times New Roman" w:hAnsi="Times New Roman" w:cs="Times New Roman"/>
          <w:color w:val="auto"/>
          <w:szCs w:val="28"/>
        </w:rPr>
      </w:pPr>
      <w:r>
        <w:rPr>
          <w:rFonts w:hint="eastAsia" w:ascii="Times New Roman" w:hAnsi="Times New Roman" w:cs="Times New Roman"/>
          <w:color w:val="auto"/>
          <w:szCs w:val="28"/>
        </w:rPr>
        <w:drawing>
          <wp:inline distT="0" distB="0" distL="114300" distR="114300">
            <wp:extent cx="5610225" cy="7783195"/>
            <wp:effectExtent l="0" t="0" r="9525" b="8255"/>
            <wp:docPr id="19" name="图片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02"/>
                    <pic:cNvPicPr>
                      <a:picLocks noChangeAspect="1"/>
                    </pic:cNvPicPr>
                  </pic:nvPicPr>
                  <pic:blipFill>
                    <a:blip r:embed="rId43" cstate="print"/>
                    <a:stretch>
                      <a:fillRect/>
                    </a:stretch>
                  </pic:blipFill>
                  <pic:spPr>
                    <a:xfrm>
                      <a:off x="0" y="0"/>
                      <a:ext cx="5610225" cy="7783195"/>
                    </a:xfrm>
                    <a:prstGeom prst="rect">
                      <a:avLst/>
                    </a:prstGeom>
                  </pic:spPr>
                </pic:pic>
              </a:graphicData>
            </a:graphic>
          </wp:inline>
        </w:drawing>
      </w:r>
    </w:p>
    <w:p>
      <w:pPr>
        <w:pStyle w:val="9"/>
        <w:ind w:firstLine="560"/>
        <w:rPr>
          <w:rFonts w:ascii="Times New Roman" w:hAnsi="Times New Roman" w:cs="Times New Roman"/>
          <w:color w:val="auto"/>
          <w:szCs w:val="28"/>
        </w:rPr>
      </w:pPr>
    </w:p>
    <w:p>
      <w:pPr>
        <w:pStyle w:val="10"/>
        <w:ind w:firstLine="560"/>
        <w:rPr>
          <w:rFonts w:ascii="Times New Roman" w:hAnsi="Times New Roman" w:cs="Times New Roman"/>
          <w:color w:val="auto"/>
          <w:szCs w:val="28"/>
        </w:rPr>
      </w:pPr>
      <w:r>
        <w:rPr>
          <w:rFonts w:hint="eastAsia" w:ascii="Times New Roman" w:hAnsi="Times New Roman" w:cs="Times New Roman"/>
          <w:color w:val="auto"/>
          <w:szCs w:val="28"/>
        </w:rPr>
        <w:drawing>
          <wp:inline distT="0" distB="0" distL="114300" distR="114300">
            <wp:extent cx="5610225" cy="7783195"/>
            <wp:effectExtent l="0" t="0" r="9525" b="8255"/>
            <wp:docPr id="20" name="图片 2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03"/>
                    <pic:cNvPicPr>
                      <a:picLocks noChangeAspect="1"/>
                    </pic:cNvPicPr>
                  </pic:nvPicPr>
                  <pic:blipFill>
                    <a:blip r:embed="rId44" cstate="print"/>
                    <a:stretch>
                      <a:fillRect/>
                    </a:stretch>
                  </pic:blipFill>
                  <pic:spPr>
                    <a:xfrm>
                      <a:off x="0" y="0"/>
                      <a:ext cx="5610225" cy="7783195"/>
                    </a:xfrm>
                    <a:prstGeom prst="rect">
                      <a:avLst/>
                    </a:prstGeom>
                  </pic:spPr>
                </pic:pic>
              </a:graphicData>
            </a:graphic>
          </wp:inline>
        </w:drawing>
      </w:r>
    </w:p>
    <w:p>
      <w:pPr>
        <w:pStyle w:val="11"/>
        <w:ind w:firstLine="560"/>
        <w:rPr>
          <w:rFonts w:ascii="Times New Roman" w:hAnsi="Times New Roman" w:cs="Times New Roman"/>
          <w:color w:val="auto"/>
          <w:sz w:val="28"/>
          <w:szCs w:val="28"/>
        </w:rPr>
      </w:pPr>
    </w:p>
    <w:p>
      <w:pPr>
        <w:pStyle w:val="12"/>
        <w:ind w:firstLine="560"/>
        <w:rPr>
          <w:rFonts w:ascii="Times New Roman" w:hAnsi="Times New Roman" w:cs="Times New Roman"/>
          <w:color w:val="auto"/>
          <w:sz w:val="28"/>
          <w:szCs w:val="28"/>
        </w:rPr>
      </w:pPr>
    </w:p>
    <w:p>
      <w:pPr>
        <w:pStyle w:val="13"/>
        <w:ind w:firstLine="360"/>
        <w:rPr>
          <w:color w:val="auto"/>
        </w:rPr>
      </w:pPr>
    </w:p>
    <w:p>
      <w:pPr>
        <w:pStyle w:val="25"/>
        <w:tabs>
          <w:tab w:val="right" w:leader="dot" w:pos="8835"/>
        </w:tabs>
        <w:spacing w:line="312" w:lineRule="auto"/>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5610225" cy="7783195"/>
            <wp:effectExtent l="0" t="0" r="9525" b="8255"/>
            <wp:docPr id="23" name="图片 2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4"/>
                    <pic:cNvPicPr>
                      <a:picLocks noChangeAspect="1"/>
                    </pic:cNvPicPr>
                  </pic:nvPicPr>
                  <pic:blipFill>
                    <a:blip r:embed="rId45" cstate="print"/>
                    <a:stretch>
                      <a:fillRect/>
                    </a:stretch>
                  </pic:blipFill>
                  <pic:spPr>
                    <a:xfrm>
                      <a:off x="0" y="0"/>
                      <a:ext cx="5610225" cy="7783195"/>
                    </a:xfrm>
                    <a:prstGeom prst="rect">
                      <a:avLst/>
                    </a:prstGeom>
                  </pic:spPr>
                </pic:pic>
              </a:graphicData>
            </a:graphic>
          </wp:inline>
        </w:drawing>
      </w:r>
    </w:p>
    <w:p>
      <w:pPr>
        <w:pStyle w:val="25"/>
        <w:tabs>
          <w:tab w:val="right" w:leader="dot" w:pos="8835"/>
        </w:tabs>
        <w:spacing w:line="312" w:lineRule="auto"/>
        <w:rPr>
          <w:rFonts w:ascii="Times New Roman" w:hAnsi="Times New Roman" w:eastAsia="仿宋_GB2312"/>
          <w:sz w:val="28"/>
          <w:szCs w:val="28"/>
        </w:rPr>
      </w:pPr>
    </w:p>
    <w:p>
      <w:pPr>
        <w:pStyle w:val="25"/>
        <w:tabs>
          <w:tab w:val="right" w:leader="dot" w:pos="8835"/>
        </w:tabs>
        <w:spacing w:line="312" w:lineRule="auto"/>
        <w:ind w:left="0"/>
        <w:rPr>
          <w:rFonts w:ascii="Times New Roman" w:hAnsi="Times New Roman" w:eastAsia="仿宋_GB2312"/>
          <w:sz w:val="28"/>
          <w:szCs w:val="28"/>
        </w:rPr>
      </w:pPr>
    </w:p>
    <w:p>
      <w:pPr>
        <w:pStyle w:val="25"/>
        <w:tabs>
          <w:tab w:val="right" w:leader="dot" w:pos="8835"/>
        </w:tabs>
        <w:spacing w:line="312" w:lineRule="auto"/>
        <w:rPr>
          <w:rFonts w:ascii="Times New Roman" w:hAnsi="Times New Roman" w:eastAsia="仿宋_GB2312"/>
          <w:sz w:val="28"/>
          <w:szCs w:val="28"/>
        </w:rPr>
        <w:sectPr>
          <w:pgSz w:w="11906" w:h="16838"/>
          <w:pgMar w:top="1814" w:right="1474" w:bottom="1701" w:left="1587" w:header="720" w:footer="1304" w:gutter="0"/>
          <w:cols w:space="0" w:num="1"/>
          <w:docGrid w:linePitch="381" w:charSpace="0"/>
        </w:sectPr>
      </w:pPr>
    </w:p>
    <w:p>
      <w:pPr>
        <w:pStyle w:val="25"/>
        <w:tabs>
          <w:tab w:val="right" w:leader="dot" w:pos="8835"/>
        </w:tabs>
        <w:spacing w:line="312" w:lineRule="auto"/>
        <w:rPr>
          <w:rFonts w:ascii="Times New Roman" w:hAnsi="Times New Roman" w:eastAsia="仿宋_GB2312"/>
          <w:sz w:val="28"/>
          <w:szCs w:val="28"/>
        </w:rPr>
      </w:pPr>
      <w:r>
        <w:rPr>
          <w:rFonts w:hint="eastAsia" w:ascii="Times New Roman" w:hAnsi="Times New Roman" w:eastAsia="仿宋_GB2312"/>
          <w:sz w:val="28"/>
          <w:szCs w:val="28"/>
        </w:rPr>
        <w:drawing>
          <wp:inline distT="0" distB="0" distL="114300" distR="114300">
            <wp:extent cx="7442835" cy="5594350"/>
            <wp:effectExtent l="0" t="0" r="5715" b="6350"/>
            <wp:docPr id="25" name="图片 25" descr="长清区禁养分布图_画板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长清区禁养分布图_画板右"/>
                    <pic:cNvPicPr>
                      <a:picLocks noChangeAspect="1"/>
                    </pic:cNvPicPr>
                  </pic:nvPicPr>
                  <pic:blipFill>
                    <a:blip r:embed="rId46" cstate="print"/>
                    <a:stretch>
                      <a:fillRect/>
                    </a:stretch>
                  </pic:blipFill>
                  <pic:spPr>
                    <a:xfrm>
                      <a:off x="0" y="0"/>
                      <a:ext cx="7442835" cy="5594350"/>
                    </a:xfrm>
                    <a:prstGeom prst="rect">
                      <a:avLst/>
                    </a:prstGeom>
                  </pic:spPr>
                </pic:pic>
              </a:graphicData>
            </a:graphic>
          </wp:inline>
        </w:drawing>
      </w:r>
    </w:p>
    <w:p>
      <w:pPr>
        <w:pStyle w:val="25"/>
        <w:tabs>
          <w:tab w:val="right" w:leader="dot" w:pos="8835"/>
        </w:tabs>
        <w:spacing w:line="312" w:lineRule="auto"/>
        <w:rPr>
          <w:rFonts w:ascii="Times New Roman" w:hAnsi="Times New Roman" w:eastAsia="仿宋_GB2312"/>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2965450</wp:posOffset>
                </wp:positionH>
                <wp:positionV relativeFrom="paragraph">
                  <wp:posOffset>521970</wp:posOffset>
                </wp:positionV>
                <wp:extent cx="2276475" cy="257175"/>
                <wp:effectExtent l="0" t="0" r="9525" b="9525"/>
                <wp:wrapNone/>
                <wp:docPr id="22" name="文本框 22"/>
                <wp:cNvGraphicFramePr/>
                <a:graphic xmlns:a="http://schemas.openxmlformats.org/drawingml/2006/main">
                  <a:graphicData uri="http://schemas.microsoft.com/office/word/2010/wordprocessingShape">
                    <wps:wsp>
                      <wps:cNvSpPr txBox="1"/>
                      <wps:spPr>
                        <a:xfrm>
                          <a:off x="4045585" y="1529715"/>
                          <a:ext cx="2276475" cy="257175"/>
                        </a:xfrm>
                        <a:prstGeom prst="rect">
                          <a:avLst/>
                        </a:prstGeom>
                        <a:solidFill>
                          <a:srgbClr val="FFFFFF"/>
                        </a:solidFill>
                        <a:ln w="6350">
                          <a:noFill/>
                        </a:ln>
                        <a:effectLst/>
                      </wps:spPr>
                      <wps:txbx>
                        <w:txbxContent>
                          <w:p>
                            <w:pPr>
                              <w:ind w:firstLine="56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pt;margin-top:41.1pt;height:20.25pt;width:179.25pt;z-index:251679744;mso-width-relative:page;mso-height-relative:page;" fillcolor="#FFFFFF" filled="t" stroked="f" coordsize="21600,21600" o:gfxdata="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9UXs1gAAAAoBAAAPAAAAAAAAAAEAIAAAACIAAABkcnMvZG93bnJldi54bWxQSwECFAAUAAAA&#10;CACHTuJAM4QQS2ICAACrBAAADgAAAAAAAAABACAAAAAlAQAAZHJzL2Uyb0RvYy54bWxQSwUGAAAA&#10;AAYABgBZAQAA+QUAAAAA&#10;">
                <v:fill on="t" focussize="0,0"/>
                <v:stroke on="f" weight="0.5pt"/>
                <v:imagedata o:title=""/>
                <o:lock v:ext="edit" aspectratio="f"/>
                <v:textbox>
                  <w:txbxContent>
                    <w:p>
                      <w:pPr>
                        <w:ind w:firstLine="560"/>
                      </w:pPr>
                    </w:p>
                  </w:txbxContent>
                </v:textbox>
              </v:shape>
            </w:pict>
          </mc:Fallback>
        </mc:AlternateContent>
      </w:r>
      <w:r>
        <w:rPr>
          <w:rFonts w:ascii="Times New Roman" w:hAnsi="Times New Roman" w:eastAsia="仿宋_GB2312"/>
          <w:sz w:val="28"/>
          <w:szCs w:val="28"/>
        </w:rPr>
        <w:t>附图</w:t>
      </w:r>
      <w:r>
        <w:rPr>
          <w:rFonts w:hint="eastAsia" w:ascii="Times New Roman" w:hAnsi="Times New Roman" w:eastAsia="仿宋_GB2312"/>
          <w:sz w:val="28"/>
          <w:szCs w:val="28"/>
        </w:rPr>
        <w:t>6</w:t>
      </w:r>
      <w:r>
        <w:rPr>
          <w:rFonts w:ascii="Times New Roman" w:hAnsi="Times New Roman" w:eastAsia="仿宋_GB2312"/>
          <w:sz w:val="28"/>
          <w:szCs w:val="28"/>
        </w:rPr>
        <w:t>：长清区规模化畜禽养殖场粪污处理利用企业分布图</w:t>
      </w:r>
    </w:p>
    <w:p>
      <w:pPr>
        <w:ind w:firstLine="560"/>
        <w:rPr>
          <w:rFonts w:ascii="Times New Roman" w:hAnsi="Times New Roman" w:cs="Times New Roman"/>
          <w:color w:val="auto"/>
        </w:rPr>
      </w:pPr>
      <w:r>
        <w:rPr>
          <w:rFonts w:ascii="Times New Roman" w:hAnsi="Times New Roman" w:cs="Times New Roman"/>
          <w:color w:val="auto"/>
        </w:rPr>
        <w:drawing>
          <wp:inline distT="0" distB="0" distL="114300" distR="114300">
            <wp:extent cx="7562850" cy="5048250"/>
            <wp:effectExtent l="0" t="0" r="0" b="0"/>
            <wp:docPr id="5" name="图片 5" descr="长清区地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长清区地图_1"/>
                    <pic:cNvPicPr>
                      <a:picLocks noChangeAspect="1"/>
                    </pic:cNvPicPr>
                  </pic:nvPicPr>
                  <pic:blipFill>
                    <a:blip r:embed="rId47" cstate="print"/>
                    <a:stretch>
                      <a:fillRect/>
                    </a:stretch>
                  </pic:blipFill>
                  <pic:spPr>
                    <a:xfrm>
                      <a:off x="0" y="0"/>
                      <a:ext cx="7562850" cy="5048250"/>
                    </a:xfrm>
                    <a:prstGeom prst="rect">
                      <a:avLst/>
                    </a:prstGeom>
                  </pic:spPr>
                </pic:pic>
              </a:graphicData>
            </a:graphic>
          </wp:inline>
        </w:drawing>
      </w:r>
      <w:r>
        <w:rPr>
          <w:rFonts w:ascii="Times New Roman" w:hAnsi="Times New Roman" w:cs="Times New Roman"/>
          <w:color w:val="auto"/>
        </w:rPr>
        <mc:AlternateContent>
          <mc:Choice Requires="wps">
            <w:drawing>
              <wp:anchor distT="0" distB="0" distL="114300" distR="114300" simplePos="0" relativeHeight="251678720" behindDoc="0" locked="0" layoutInCell="1" allowOverlap="1">
                <wp:simplePos x="0" y="0"/>
                <wp:positionH relativeFrom="column">
                  <wp:posOffset>842010</wp:posOffset>
                </wp:positionH>
                <wp:positionV relativeFrom="paragraph">
                  <wp:posOffset>4530725</wp:posOffset>
                </wp:positionV>
                <wp:extent cx="2029460" cy="228600"/>
                <wp:effectExtent l="0" t="0" r="8890" b="0"/>
                <wp:wrapNone/>
                <wp:docPr id="35" name="文本框 35"/>
                <wp:cNvGraphicFramePr/>
                <a:graphic xmlns:a="http://schemas.openxmlformats.org/drawingml/2006/main">
                  <a:graphicData uri="http://schemas.microsoft.com/office/word/2010/wordprocessingShape">
                    <wps:wsp>
                      <wps:cNvSpPr txBox="1"/>
                      <wps:spPr>
                        <a:xfrm>
                          <a:off x="1884680" y="5939790"/>
                          <a:ext cx="2029460" cy="228600"/>
                        </a:xfrm>
                        <a:prstGeom prst="rect">
                          <a:avLst/>
                        </a:prstGeom>
                        <a:solidFill>
                          <a:srgbClr val="FFFFFF"/>
                        </a:solidFill>
                        <a:ln w="6350">
                          <a:noFill/>
                        </a:ln>
                        <a:effectLst/>
                      </wps:spPr>
                      <wps:txbx>
                        <w:txbxContent>
                          <w:p>
                            <w:pPr>
                              <w:ind w:firstLine="0" w:firstLineChars="0"/>
                              <w:jc w:val="both"/>
                            </w:pPr>
                            <w:r>
                              <w:rPr>
                                <w:rFonts w:hint="eastAsia" w:ascii="Times New Roman" w:hAnsi="Times New Roman"/>
                                <w:color w:val="auto"/>
                                <w:sz w:val="18"/>
                                <w:szCs w:val="18"/>
                              </w:rPr>
                              <w:t>规模化畜禽养殖场粪污处理利用企业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3pt;margin-top:356.75pt;height:18pt;width:159.8pt;z-index:251678720;mso-width-relative:page;mso-height-relative:page;" fillcolor="#FFFFFF" filled="t" stroked="f" coordsize="21600,21600" o:gfxdata="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ylmyvWAAAACwEAAA8AAAAAAAAAAQAgAAAAIgAAAGRycy9kb3ducmV2LnhtbFBLAQIUABQA&#10;AAAIAIdO4kBnKoFVZAIAAKsEAAAOAAAAAAAAAAEAIAAAACUBAABkcnMvZTJvRG9jLnhtbFBLBQYA&#10;AAAABgAGAFkBAAD7BQAAAAA=&#10;">
                <v:fill on="t" focussize="0,0"/>
                <v:stroke on="f" weight="0.5pt"/>
                <v:imagedata o:title=""/>
                <o:lock v:ext="edit" aspectratio="f"/>
                <v:textbox>
                  <w:txbxContent>
                    <w:p>
                      <w:pPr>
                        <w:ind w:firstLine="0" w:firstLineChars="0"/>
                        <w:jc w:val="both"/>
                      </w:pPr>
                      <w:r>
                        <w:rPr>
                          <w:rFonts w:hint="eastAsia" w:ascii="Times New Roman" w:hAnsi="Times New Roman"/>
                          <w:color w:val="auto"/>
                          <w:sz w:val="18"/>
                          <w:szCs w:val="18"/>
                        </w:rPr>
                        <w:t>规模化畜禽养殖场粪污处理利用企业</w:t>
                      </w:r>
                    </w:p>
                  </w:txbxContent>
                </v:textbox>
              </v:shape>
            </w:pict>
          </mc:Fallback>
        </mc:AlternateContent>
      </w:r>
      <w:r>
        <w:rPr>
          <w:rFonts w:ascii="Times New Roman" w:hAnsi="Times New Roman" w:cs="Times New Roman"/>
          <w:color w:val="auto"/>
        </w:rPr>
        <mc:AlternateContent>
          <mc:Choice Requires="wps">
            <w:drawing>
              <wp:anchor distT="0" distB="0" distL="114300" distR="114300" simplePos="0" relativeHeight="251677696" behindDoc="0" locked="0" layoutInCell="1" allowOverlap="1">
                <wp:simplePos x="0" y="0"/>
                <wp:positionH relativeFrom="column">
                  <wp:posOffset>747395</wp:posOffset>
                </wp:positionH>
                <wp:positionV relativeFrom="paragraph">
                  <wp:posOffset>4606925</wp:posOffset>
                </wp:positionV>
                <wp:extent cx="85090" cy="76200"/>
                <wp:effectExtent l="20320" t="19685" r="27940" b="18415"/>
                <wp:wrapNone/>
                <wp:docPr id="34" name="五角星 34"/>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8.85pt;margin-top:362.75pt;height:6pt;width:6.7pt;z-index:251677696;v-text-anchor:middle;mso-width-relative:page;mso-height-relative:page;" fillcolor="#5B9BD5" filled="t" stroked="t" coordsize="85090,76200" o:gfxdata="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qX2/hNkAAAALAQAADwAAAAAAAAABACAA&#10;AAAiAAAAZHJzL2Rvd25yZXYueG1sUEsBAhQAFAAAAAgAh07iQP5s3nB+AgAABQUAAA4AAAAAAAAA&#10;AQAgAAAAKAEAAGRycy9lMm9Eb2MueG1sUEsFBgAAAAAGAAYAWQEAABgGA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6672" behindDoc="0" locked="0" layoutInCell="1" allowOverlap="1">
                <wp:simplePos x="0" y="0"/>
                <wp:positionH relativeFrom="column">
                  <wp:posOffset>4224020</wp:posOffset>
                </wp:positionH>
                <wp:positionV relativeFrom="paragraph">
                  <wp:posOffset>1511300</wp:posOffset>
                </wp:positionV>
                <wp:extent cx="85090" cy="76200"/>
                <wp:effectExtent l="20320" t="19685" r="27940" b="18415"/>
                <wp:wrapNone/>
                <wp:docPr id="33" name="五角星 33"/>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2.6pt;margin-top:119pt;height:6pt;width:6.7pt;z-index:251676672;v-text-anchor:middle;mso-width-relative:page;mso-height-relative:page;" fillcolor="#5B9BD5" filled="t" stroked="t" coordsize="85090,76200" o:gfxdata="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RnoZr2gAAAAsBAAAPAAAAAAAAAAEA&#10;IAAAACIAAABkcnMvZG93bnJldi54bWxQSwECFAAUAAAACACHTuJArbcpgn8CAAAFBQAADgAAAAAA&#10;AAABACAAAAApAQAAZHJzL2Uyb0RvYy54bWxQSwUGAAAAAAYABgBZAQAAGgY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5648" behindDoc="0" locked="0" layoutInCell="1" allowOverlap="1">
                <wp:simplePos x="0" y="0"/>
                <wp:positionH relativeFrom="column">
                  <wp:posOffset>4557395</wp:posOffset>
                </wp:positionH>
                <wp:positionV relativeFrom="paragraph">
                  <wp:posOffset>1711325</wp:posOffset>
                </wp:positionV>
                <wp:extent cx="85090" cy="76200"/>
                <wp:effectExtent l="20320" t="19685" r="27940" b="18415"/>
                <wp:wrapNone/>
                <wp:docPr id="32" name="五角星 32"/>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8.85pt;margin-top:134.75pt;height:6pt;width:6.7pt;z-index:251675648;v-text-anchor:middle;mso-width-relative:page;mso-height-relative:page;" fillcolor="#5B9BD5" filled="t" stroked="t" coordsize="85090,76200" o:gfxdata="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7a1NsAAAALAQAADwAAAAAAAAAB&#10;ACAAAAAiAAAAZHJzL2Rvd25yZXYueG1sUEsBAhQAFAAAAAgAh07iQKsoHuF/AgAABQUAAA4AAAAA&#10;AAAAAQAgAAAAKgEAAGRycy9lMm9Eb2MueG1sUEsFBgAAAAAGAAYAWQEAABsGA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4624" behindDoc="0" locked="0" layoutInCell="1" allowOverlap="1">
                <wp:simplePos x="0" y="0"/>
                <wp:positionH relativeFrom="column">
                  <wp:posOffset>4443095</wp:posOffset>
                </wp:positionH>
                <wp:positionV relativeFrom="paragraph">
                  <wp:posOffset>1682750</wp:posOffset>
                </wp:positionV>
                <wp:extent cx="85090" cy="76200"/>
                <wp:effectExtent l="20320" t="19685" r="27940" b="18415"/>
                <wp:wrapNone/>
                <wp:docPr id="31" name="五角星 31"/>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9.85pt;margin-top:132.5pt;height:6pt;width:6.7pt;z-index:251674624;v-text-anchor:middle;mso-width-relative:page;mso-height-relative:page;" fillcolor="#5B9BD5" filled="t" stroked="t" coordsize="85090,76200" o:gfxdata="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kdjF22wAAAAsBAAAPAAAAAAAAAAEA&#10;IAAAACIAAABkcnMvZG93bnJldi54bWxQSwECFAAUAAAACACHTuJAoYlGRH4CAAAFBQAADgAAAAAA&#10;AAABACAAAAAqAQAAZHJzL2Uyb0RvYy54bWxQSwUGAAAAAAYABgBZAQAAGgY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3600" behindDoc="0" locked="0" layoutInCell="1" allowOverlap="1">
                <wp:simplePos x="0" y="0"/>
                <wp:positionH relativeFrom="column">
                  <wp:posOffset>2671445</wp:posOffset>
                </wp:positionH>
                <wp:positionV relativeFrom="paragraph">
                  <wp:posOffset>3282950</wp:posOffset>
                </wp:positionV>
                <wp:extent cx="85090" cy="76200"/>
                <wp:effectExtent l="20320" t="19685" r="27940" b="18415"/>
                <wp:wrapNone/>
                <wp:docPr id="30" name="五角星 30"/>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0.35pt;margin-top:258.5pt;height:6pt;width:6.7pt;z-index:251673600;v-text-anchor:middle;mso-width-relative:page;mso-height-relative:page;" fillcolor="#5B9BD5" filled="t" stroked="t" coordsize="85090,76200" o:gfxdata="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kZkTfaAAAACwEAAA8AAAAAAAAAAQAg&#10;AAAAIgAAAGRycy9kb3ducmV2LnhtbFBLAQIUABQAAAAIAIdO4kCnFnEnfgIAAAUFAAAOAAAAAAAA&#10;AAEAIAAAACkBAABkcnMvZTJvRG9jLnhtbFBLBQYAAAAABgAGAFkBAAAZBg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2576" behindDoc="0" locked="0" layoutInCell="1" allowOverlap="1">
                <wp:simplePos x="0" y="0"/>
                <wp:positionH relativeFrom="column">
                  <wp:posOffset>3700145</wp:posOffset>
                </wp:positionH>
                <wp:positionV relativeFrom="paragraph">
                  <wp:posOffset>2625725</wp:posOffset>
                </wp:positionV>
                <wp:extent cx="85090" cy="76200"/>
                <wp:effectExtent l="20320" t="19685" r="27940" b="18415"/>
                <wp:wrapNone/>
                <wp:docPr id="29" name="五角星 29"/>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1.35pt;margin-top:206.75pt;height:6pt;width:6.7pt;z-index:251672576;v-text-anchor:middle;mso-width-relative:page;mso-height-relative:page;" fillcolor="#5B9BD5" filled="t" stroked="t" coordsize="85090,76200" o:gfxdata="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s4TpP2wAAAAsBAAAPAAAAAAAAAAEA&#10;IAAAACIAAABkcnMvZG93bnJldi54bWxQSwECFAAUAAAACACHTuJAue8YAn4CAAAFBQAADgAAAAAA&#10;AAABACAAAAAqAQAAZHJzL2Uyb0RvYy54bWxQSwUGAAAAAAYABgBZAQAAGgY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1552" behindDoc="0" locked="0" layoutInCell="1" allowOverlap="1">
                <wp:simplePos x="0" y="0"/>
                <wp:positionH relativeFrom="column">
                  <wp:posOffset>3604895</wp:posOffset>
                </wp:positionH>
                <wp:positionV relativeFrom="paragraph">
                  <wp:posOffset>2149475</wp:posOffset>
                </wp:positionV>
                <wp:extent cx="85090" cy="76200"/>
                <wp:effectExtent l="20320" t="19685" r="27940" b="18415"/>
                <wp:wrapNone/>
                <wp:docPr id="28" name="五角星 28"/>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3.85pt;margin-top:169.25pt;height:6pt;width:6.7pt;z-index:251671552;v-text-anchor:middle;mso-width-relative:page;mso-height-relative:page;" fillcolor="#5B9BD5" filled="t" stroked="t" coordsize="85090,76200" o:gfxdata="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zV5iX2wAAAAsBAAAPAAAAAAAAAAEA&#10;IAAAACIAAABkcnMvZG93bnJldi54bWxQSwECFAAUAAAACACHTuJAv3AvYX4CAAAFBQAADgAAAAAA&#10;AAABACAAAAAqAQAAZHJzL2Uyb0RvYy54bWxQSwUGAAAAAAYABgBZAQAAGgY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0528" behindDoc="0" locked="0" layoutInCell="1" allowOverlap="1">
                <wp:simplePos x="0" y="0"/>
                <wp:positionH relativeFrom="column">
                  <wp:posOffset>4004945</wp:posOffset>
                </wp:positionH>
                <wp:positionV relativeFrom="paragraph">
                  <wp:posOffset>3730625</wp:posOffset>
                </wp:positionV>
                <wp:extent cx="85090" cy="76200"/>
                <wp:effectExtent l="20320" t="19685" r="27940" b="18415"/>
                <wp:wrapNone/>
                <wp:docPr id="27" name="五角星 27"/>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5.35pt;margin-top:293.75pt;height:6pt;width:6.7pt;z-index:251670528;v-text-anchor:middle;mso-width-relative:page;mso-height-relative:page;" fillcolor="#5B9BD5" filled="t" stroked="t" coordsize="85090,76200" o:gfxdata="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Fc6bvtwAAAALAQAADwAAAAAAAAAB&#10;ACAAAAAiAAAAZHJzL2Rvd25yZXYueG1sUEsBAhQAFAAAAAgAh07iQF5fhjx+AgAABQUAAA4AAAAA&#10;AAAAAQAgAAAAKwEAAGRycy9lMm9Eb2MueG1sUEsFBgAAAAAGAAYAWQEAABsGA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9504" behindDoc="0" locked="0" layoutInCell="1" allowOverlap="1">
                <wp:simplePos x="0" y="0"/>
                <wp:positionH relativeFrom="column">
                  <wp:posOffset>3776345</wp:posOffset>
                </wp:positionH>
                <wp:positionV relativeFrom="paragraph">
                  <wp:posOffset>3016250</wp:posOffset>
                </wp:positionV>
                <wp:extent cx="85090" cy="76200"/>
                <wp:effectExtent l="20320" t="19685" r="27940" b="18415"/>
                <wp:wrapNone/>
                <wp:docPr id="26" name="五角星 26"/>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7.35pt;margin-top:237.5pt;height:6pt;width:6.7pt;z-index:251669504;v-text-anchor:middle;mso-width-relative:page;mso-height-relative:page;" fillcolor="#5B9BD5" filled="t" stroked="t" coordsize="85090,76200" o:gfxdata="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mwpytsAAAALAQAADwAAAAAAAAAB&#10;ACAAAAAiAAAAZHJzL2Rvd25yZXYueG1sUEsBAhQAFAAAAAgAh07iQFjAsV9/AgAABQUAAA4AAAAA&#10;AAAAAQAgAAAAKgEAAGRycy9lMm9Eb2MueG1sUEsFBgAAAAAGAAYAWQEAABsGA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8480" behindDoc="0" locked="0" layoutInCell="1" allowOverlap="1">
                <wp:simplePos x="0" y="0"/>
                <wp:positionH relativeFrom="column">
                  <wp:posOffset>3957320</wp:posOffset>
                </wp:positionH>
                <wp:positionV relativeFrom="paragraph">
                  <wp:posOffset>3149600</wp:posOffset>
                </wp:positionV>
                <wp:extent cx="85090" cy="76200"/>
                <wp:effectExtent l="20320" t="19685" r="27940" b="18415"/>
                <wp:wrapNone/>
                <wp:docPr id="24" name="五角星 24"/>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1.6pt;margin-top:248pt;height:6pt;width:6.7pt;z-index:251668480;v-text-anchor:middle;mso-width-relative:page;mso-height-relative:page;" fillcolor="#5B9BD5" filled="t" stroked="t" coordsize="85090,76200" o:gfxdata="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M9OHfaAAAACwEAAA8AAAAAAAAAAQAg&#10;AAAAIgAAAGRycy9kb3ducmV2LnhtbFBLAQIUABQAAAAIAIdO4kBU/t6ZfgIAAAUFAAAOAAAAAAAA&#10;AAEAIAAAACkBAABkcnMvZTJvRG9jLnhtbFBLBQYAAAAABgAGAFkBAAAZBg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7456" behindDoc="0" locked="0" layoutInCell="1" allowOverlap="1">
                <wp:simplePos x="0" y="0"/>
                <wp:positionH relativeFrom="column">
                  <wp:posOffset>5490845</wp:posOffset>
                </wp:positionH>
                <wp:positionV relativeFrom="paragraph">
                  <wp:posOffset>4549775</wp:posOffset>
                </wp:positionV>
                <wp:extent cx="85090" cy="76200"/>
                <wp:effectExtent l="20320" t="19685" r="27940" b="18415"/>
                <wp:wrapNone/>
                <wp:docPr id="21" name="五角星 21"/>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2.35pt;margin-top:358.25pt;height:6pt;width:6.7pt;z-index:251667456;v-text-anchor:middle;mso-width-relative:page;mso-height-relative:page;" fillcolor="#5B9BD5" filled="t" stroked="t" coordsize="85090,76200" o:gfxdata="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dSiZ2wAAAAsBAAAPAAAAAAAAAAEA&#10;IAAAACIAAABkcnMvZG93bnJldi54bWxQSwECFAAUAAAACACHTuJACxtGrX4CAAAFBQAADgAAAAAA&#10;AAABACAAAAAqAQAAZHJzL2Uyb0RvYy54bWxQSwUGAAAAAAYABgBZAQAAGgY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5408" behindDoc="0" locked="0" layoutInCell="1" allowOverlap="1">
                <wp:simplePos x="0" y="0"/>
                <wp:positionH relativeFrom="column">
                  <wp:posOffset>3204845</wp:posOffset>
                </wp:positionH>
                <wp:positionV relativeFrom="paragraph">
                  <wp:posOffset>3168650</wp:posOffset>
                </wp:positionV>
                <wp:extent cx="85090" cy="76200"/>
                <wp:effectExtent l="20320" t="19685" r="27940" b="18415"/>
                <wp:wrapNone/>
                <wp:docPr id="14" name="五角星 14"/>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2.35pt;margin-top:249.5pt;height:6pt;width:6.7pt;z-index:251665408;v-text-anchor:middle;mso-width-relative:page;mso-height-relative:page;" fillcolor="#5B9BD5" filled="t" stroked="t" coordsize="85090,76200" o:gfxdata="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AmQE7aAAAACwEAAA8AAAAAAAAAAQAg&#10;AAAAIgAAAGRycy9kb3ducmV2LnhtbFBLAQIUABQAAAAIAIdO4kDrT655fgIAAAUFAAAOAAAAAAAA&#10;AAEAIAAAACkBAABkcnMvZTJvRG9jLnhtbFBLBQYAAAAABgAGAFkBAAAZBg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6432" behindDoc="0" locked="0" layoutInCell="1" allowOverlap="1">
                <wp:simplePos x="0" y="0"/>
                <wp:positionH relativeFrom="column">
                  <wp:posOffset>5624195</wp:posOffset>
                </wp:positionH>
                <wp:positionV relativeFrom="paragraph">
                  <wp:posOffset>4387850</wp:posOffset>
                </wp:positionV>
                <wp:extent cx="85090" cy="76200"/>
                <wp:effectExtent l="20320" t="19685" r="27940" b="18415"/>
                <wp:wrapNone/>
                <wp:docPr id="16" name="五角星 16"/>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42.85pt;margin-top:345.5pt;height:6pt;width:6.7pt;z-index:251666432;v-text-anchor:middle;mso-width-relative:page;mso-height-relative:page;" fillcolor="#5B9BD5" filled="t" stroked="t" coordsize="85090,76200" o:gfxdata="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ll2A/2wAAAAsBAAAPAAAAAAAAAAEA&#10;IAAAACIAAABkcnMvZG93bnJldi54bWxQSwECFAAUAAAACACHTuJA53HBv34CAAAFBQAADgAAAAAA&#10;AAABACAAAAAqAQAAZHJzL2Uyb0RvYy54bWxQSwUGAAAAAAYABgBZAQAAGgY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3385820</wp:posOffset>
                </wp:positionH>
                <wp:positionV relativeFrom="paragraph">
                  <wp:posOffset>2568575</wp:posOffset>
                </wp:positionV>
                <wp:extent cx="85090" cy="76200"/>
                <wp:effectExtent l="20320" t="19685" r="27940" b="18415"/>
                <wp:wrapNone/>
                <wp:docPr id="7" name="五角星 7"/>
                <wp:cNvGraphicFramePr/>
                <a:graphic xmlns:a="http://schemas.openxmlformats.org/drawingml/2006/main">
                  <a:graphicData uri="http://schemas.microsoft.com/office/word/2010/wordprocessingShape">
                    <wps:wsp>
                      <wps:cNvSpPr/>
                      <wps:spPr>
                        <a:xfrm>
                          <a:off x="0" y="0"/>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6.6pt;margin-top:202.25pt;height:6pt;width:6.7pt;z-index:251664384;v-text-anchor:middle;mso-width-relative:page;mso-height-relative:page;" fillcolor="#5B9BD5" filled="t" stroked="t" coordsize="85090,76200" o:gfxdata="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PcLcNoAAAALAQAADwAAAAAAAAABACAA&#10;AAAiAAAAZHJzL2Rvd25yZXYueG1sUEsBAhQAFAAAAAgAh07iQIo2/u59AgAAAwUAAA4AAAAAAAAA&#10;AQAgAAAAKQEAAGRycy9lMm9Eb2MueG1sUEsFBgAAAAAGAAYAWQEAABgGA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2976245</wp:posOffset>
                </wp:positionH>
                <wp:positionV relativeFrom="paragraph">
                  <wp:posOffset>2444750</wp:posOffset>
                </wp:positionV>
                <wp:extent cx="85090" cy="76200"/>
                <wp:effectExtent l="20320" t="19685" r="27940" b="18415"/>
                <wp:wrapNone/>
                <wp:docPr id="6" name="五角星 6"/>
                <wp:cNvGraphicFramePr/>
                <a:graphic xmlns:a="http://schemas.openxmlformats.org/drawingml/2006/main">
                  <a:graphicData uri="http://schemas.microsoft.com/office/word/2010/wordprocessingShape">
                    <wps:wsp>
                      <wps:cNvSpPr/>
                      <wps:spPr>
                        <a:xfrm>
                          <a:off x="4065905" y="3815715"/>
                          <a:ext cx="85090" cy="76200"/>
                        </a:xfrm>
                        <a:prstGeom prst="star5">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4.35pt;margin-top:192.5pt;height:6pt;width:6.7pt;z-index:251662336;v-text-anchor:middle;mso-width-relative:page;mso-height-relative:page;" fillcolor="#5B9BD5" filled="t" stroked="t" coordsize="85090,76200" o:gfxdata="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GTGQm2wAA&#10;AAsBAAAPAAAAAAAAAAEAIAAAACIAAABkcnMvZG93bnJldi54bWxQSwECFAAUAAAACACHTuJA6Ckb&#10;3I0CAAAPBQAADgAAAAAAAAABACAAAAAqAQAAZHJzL2Uyb0RvYy54bWxQSwUGAAAAAAYABgBZAQAA&#10;KQYAAAAA&#10;" path="m0,29105l32501,29105,42545,0,52588,29105,85089,29105,58795,47093,68839,76199,42545,58211,16250,76199,26294,47093xe">
                <v:path o:connectlocs="42545,0;0,29105;16250,76199;68839,76199;85089,29105" o:connectangles="247,164,82,82,0"/>
                <v:fill on="t" focussize="0,0"/>
                <v:stroke weight="1pt" color="#FF0000" miterlimit="8" joinstyle="miter"/>
                <v:imagedata o:title=""/>
                <o:lock v:ext="edit" aspectratio="f"/>
              </v:shape>
            </w:pict>
          </mc:Fallback>
        </mc:AlternateContent>
      </w:r>
    </w:p>
    <w:sectPr>
      <w:pgSz w:w="16838" w:h="11906" w:orient="landscape"/>
      <w:pgMar w:top="1587" w:right="1814" w:bottom="1474" w:left="1701" w:header="720" w:footer="567" w:gutter="0"/>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FangSong_GB2312">
    <w:altName w:val="仿宋"/>
    <w:panose1 w:val="02010609060101010101"/>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921"/>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54</w:t>
        </w:r>
        <w:r>
          <w:rPr>
            <w:rFonts w:asciiTheme="minorEastAsia" w:hAnsiTheme="minorEastAsia" w:eastAsiaTheme="minorEastAsia"/>
            <w:sz w:val="24"/>
            <w:szCs w:val="24"/>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929"/>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62</w:t>
        </w:r>
        <w:r>
          <w:rPr>
            <w:rFonts w:asciiTheme="minorEastAsia" w:hAnsiTheme="minorEastAsia" w:eastAsiaTheme="minorEastAsia"/>
            <w:sz w:val="24"/>
            <w:szCs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932"/>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0" w:firstLineChars="0"/>
          <w:jc w:val="cente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66</w:t>
        </w:r>
        <w:r>
          <w:rPr>
            <w:rFonts w:asciiTheme="minorEastAsia" w:hAnsiTheme="minorEastAsia" w:eastAsiaTheme="minorEastAsia"/>
            <w:sz w:val="24"/>
            <w:szCs w:val="24"/>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879"/>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360"/>
          <w:jc w:val="cente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89</w:t>
        </w:r>
        <w:r>
          <w:rPr>
            <w:rFonts w:asciiTheme="minorEastAsia" w:hAnsiTheme="minorEastAsia" w:eastAsiaTheme="minorEastAsia"/>
            <w:sz w:val="24"/>
            <w:szCs w:val="24"/>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39" w:line="276" w:lineRule="auto"/>
      <w:ind w:firstLine="560"/>
      <w:jc w:val="righ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t>1</w:t>
                    </w:r>
                    <w:r>
                      <w:fldChar w:fldCharType="end"/>
                    </w:r>
                  </w:p>
                </w:txbxContent>
              </v:textbox>
            </v:shape>
          </w:pict>
        </mc:Fallback>
      </mc:AlternateContent>
    </w:r>
  </w:p>
  <w:p>
    <w:pPr>
      <w:spacing w:line="240" w:lineRule="auto"/>
      <w:ind w:firstLine="56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5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pacing w:line="240" w:lineRule="auto"/>
                            <w:ind w:firstLine="560"/>
                            <w:jc w:val="center"/>
                          </w:pPr>
                          <w:r>
                            <w:fldChar w:fldCharType="begin"/>
                          </w:r>
                          <w:r>
                            <w:instrText xml:space="preserve"> PAGE   \* MERGEFORMAT </w:instrText>
                          </w:r>
                          <w:r>
                            <w:fldChar w:fldCharType="separate"/>
                          </w:r>
                          <w:r>
                            <w:rPr>
                              <w:rFonts w:hint="eastAsia" w:ascii="Times New Roman" w:hAnsi="Times New Roman" w:eastAsia="Times New Roman" w:cs="Times New Roman"/>
                              <w:sz w:val="18"/>
                            </w:rPr>
                            <w:t>4</w:t>
                          </w:r>
                          <w:r>
                            <w:rPr>
                              <w:rFonts w:ascii="Times New Roman" w:hAnsi="Times New Roman" w:eastAsia="Times New Roman" w:cs="Times New Roman"/>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O+AQzAgAAZw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RO+AQzAgAAZwQAAA4AAAAAAAAAAQAgAAAAHwEAAGRycy9lMm9Eb2MueG1sUEsF&#10;BgAAAAAGAAYAWQEAAMQFAAAAAA==&#10;">
              <v:fill on="f" focussize="0,0"/>
              <v:stroke on="f" weight="0.5pt"/>
              <v:imagedata o:title=""/>
              <o:lock v:ext="edit" aspectratio="f"/>
              <v:textbox inset="0mm,0mm,0mm,0mm" style="mso-fit-shape-to-text:t;">
                <w:txbxContent>
                  <w:p>
                    <w:pPr>
                      <w:spacing w:line="240" w:lineRule="auto"/>
                      <w:ind w:firstLine="560"/>
                      <w:jc w:val="center"/>
                    </w:pPr>
                    <w:r>
                      <w:fldChar w:fldCharType="begin"/>
                    </w:r>
                    <w:r>
                      <w:instrText xml:space="preserve"> PAGE   \* MERGEFORMAT </w:instrText>
                    </w:r>
                    <w:r>
                      <w:fldChar w:fldCharType="separate"/>
                    </w:r>
                    <w:r>
                      <w:rPr>
                        <w:rFonts w:hint="eastAsia" w:ascii="Times New Roman" w:hAnsi="Times New Roman" w:eastAsia="Times New Roman" w:cs="Times New Roman"/>
                        <w:sz w:val="18"/>
                      </w:rPr>
                      <w:t>4</w:t>
                    </w:r>
                    <w:r>
                      <w:rPr>
                        <w:rFonts w:ascii="Times New Roman" w:hAnsi="Times New Roman" w:eastAsia="Times New Roman" w:cs="Times New Roman"/>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39" w:line="276" w:lineRule="auto"/>
      <w:ind w:firstLine="440"/>
      <w:jc w:val="right"/>
    </w:pPr>
    <w:r>
      <w:rPr>
        <w:rFonts w:ascii="Calibri" w:hAnsi="Calibri" w:eastAsia="Calibri" w:cs="Calibri"/>
        <w:sz w:val="22"/>
      </w:rPr>
      <mc:AlternateContent>
        <mc:Choice Requires="wpg">
          <w:drawing>
            <wp:anchor distT="0" distB="0" distL="114300" distR="114300" simplePos="0" relativeHeight="251661312" behindDoc="0" locked="0" layoutInCell="1" allowOverlap="1">
              <wp:simplePos x="0" y="0"/>
              <wp:positionH relativeFrom="page">
                <wp:posOffset>1694815</wp:posOffset>
              </wp:positionH>
              <wp:positionV relativeFrom="page">
                <wp:posOffset>9432290</wp:posOffset>
              </wp:positionV>
              <wp:extent cx="4614545" cy="206375"/>
              <wp:effectExtent l="0" t="0" r="0" b="0"/>
              <wp:wrapSquare wrapText="bothSides"/>
              <wp:docPr id="11" name="Group 387229"/>
              <wp:cNvGraphicFramePr/>
              <a:graphic xmlns:a="http://schemas.openxmlformats.org/drawingml/2006/main">
                <a:graphicData uri="http://schemas.microsoft.com/office/word/2010/wordprocessingGroup">
                  <wpg:wgp>
                    <wpg:cNvGrpSpPr/>
                    <wpg:grpSpPr>
                      <a:xfrm>
                        <a:off x="0" y="0"/>
                        <a:ext cx="4614545" cy="206375"/>
                        <a:chOff x="0" y="0"/>
                        <a:chExt cx="4614799" cy="206375203"/>
                      </a:xfrm>
                    </wpg:grpSpPr>
                    <wps:wsp>
                      <wps:cNvPr id="9" name="Shape 387230"/>
                      <wps:cNvSpPr/>
                      <wps:spPr>
                        <a:xfrm>
                          <a:off x="0" y="0"/>
                          <a:ext cx="4614799" cy="0"/>
                        </a:xfrm>
                        <a:custGeom>
                          <a:avLst/>
                          <a:gdLst>
                            <a:gd name="A1" fmla="val 0"/>
                            <a:gd name="A2" fmla="val 0"/>
                            <a:gd name="A3" fmla="val 0"/>
                          </a:gdLst>
                          <a:ahLst/>
                          <a:cxnLst/>
                          <a:pathLst>
                            <a:path w="4614799" h="1">
                              <a:moveTo>
                                <a:pt x="0" y="0"/>
                              </a:moveTo>
                              <a:lnTo>
                                <a:pt x="4614799" y="0"/>
                              </a:lnTo>
                            </a:path>
                          </a:pathLst>
                        </a:custGeom>
                        <a:noFill/>
                        <a:ln w="9144" cap="flat" cmpd="sng">
                          <a:solidFill>
                            <a:srgbClr val="000000"/>
                          </a:solidFill>
                          <a:prstDash val="solid"/>
                          <a:bevel/>
                          <a:headEnd type="none" w="med" len="med"/>
                          <a:tailEnd type="none" w="med" len="med"/>
                        </a:ln>
                      </wps:spPr>
                      <wps:bodyPr upright="1"/>
                    </wps:wsp>
                    <wps:wsp>
                      <wps:cNvPr id="10" name="Shape 387231"/>
                      <wps:cNvSpPr/>
                      <wps:spPr>
                        <a:xfrm>
                          <a:off x="0" y="206375"/>
                          <a:ext cx="4614799" cy="0"/>
                        </a:xfrm>
                        <a:custGeom>
                          <a:avLst/>
                          <a:gdLst>
                            <a:gd name="A1" fmla="val 0"/>
                            <a:gd name="A2" fmla="val 0"/>
                            <a:gd name="A3" fmla="val 0"/>
                          </a:gdLst>
                          <a:ahLst/>
                          <a:cxnLst/>
                          <a:pathLst>
                            <a:path w="4614799" h="1">
                              <a:moveTo>
                                <a:pt x="0" y="0"/>
                              </a:moveTo>
                              <a:lnTo>
                                <a:pt x="4614799" y="0"/>
                              </a:lnTo>
                            </a:path>
                          </a:pathLst>
                        </a:custGeom>
                        <a:noFill/>
                        <a:ln w="9144" cap="flat" cmpd="sng">
                          <a:solidFill>
                            <a:srgbClr val="000000"/>
                          </a:solidFill>
                          <a:prstDash val="solid"/>
                          <a:bevel/>
                          <a:headEnd type="none" w="med" len="med"/>
                          <a:tailEnd type="none" w="med" len="med"/>
                        </a:ln>
                      </wps:spPr>
                      <wps:bodyPr upright="1"/>
                    </wps:wsp>
                  </wpg:wgp>
                </a:graphicData>
              </a:graphic>
            </wp:anchor>
          </w:drawing>
        </mc:Choice>
        <mc:Fallback>
          <w:pict>
            <v:group id="Group 387229" o:spid="_x0000_s1026" o:spt="203" style="position:absolute;left:0pt;margin-left:133.45pt;margin-top:742.7pt;height:16.25pt;width:363.35pt;mso-position-horizontal-relative:page;mso-position-vertical-relative:page;mso-wrap-distance-bottom:0pt;mso-wrap-distance-left:9pt;mso-wrap-distance-right:9pt;mso-wrap-distance-top:0pt;z-index:251661312;mso-width-relative:page;mso-height-relative:page;" coordsize="4614799,206375203" o:gfxdata="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GwfxardAAAADQEA&#10;AA8AAAAAAAAAAQAgAAAAIgAAAGRycy9kb3ducmV2LnhtbFBLAQIUABQAAAAIAIdO4kCgZHEawAIA&#10;AEsJAAAOAAAAAAAAAAEAIAAAACwBAABkcnMvZTJvRG9jLnhtbFBLBQYAAAAABgAGAFkBAABeBgAA&#10;AAA=&#10;">
              <o:lock v:ext="edit" aspectratio="f"/>
              <v:shape id="Shape 387230" o:spid="_x0000_s1026" o:spt="100" style="position:absolute;left:0;top:0;height:0;width:4614799;" filled="f" stroked="t" coordsize="4614799,1" o:gfxdata="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J/gL4A&#10;AADaAAAADwAAAAAAAAABACAAAAAiAAAAZHJzL2Rvd25yZXYueG1sUEsBAhQAFAAAAAgAh07iQDMv&#10;BZ47AAAAOQAAABAAAAAAAAAAAQAgAAAADQEAAGRycy9zaGFwZXhtbC54bWxQSwUGAAAAAAYABgBb&#10;AQAAtwMAAAAA&#10;" path="m0,0l4614799,0e">
                <v:fill on="f" focussize="0,0"/>
                <v:stroke weight="0.72pt" color="#000000" joinstyle="bevel"/>
                <v:imagedata o:title=""/>
                <o:lock v:ext="edit" aspectratio="f"/>
              </v:shape>
              <v:shape id="Shape 387231" o:spid="_x0000_s1026" o:spt="100" style="position:absolute;left:0;top:206375;height:0;width:4614799;" filled="f" stroked="t" coordsize="4614799,1" o:gfxdata="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uDPO/&#10;AAAA2wAAAA8AAAAAAAAAAQAgAAAAIgAAAGRycy9kb3ducmV2LnhtbFBLAQIUABQAAAAIAIdO4kAz&#10;LwWeOwAAADkAAAAQAAAAAAAAAAEAIAAAAA4BAABkcnMvc2hhcGV4bWwueG1sUEsFBgAAAAAGAAYA&#10;WwEAALgDAAAAAA==&#10;" path="m0,0l4614799,0e">
                <v:fill on="f" focussize="0,0"/>
                <v:stroke weight="0.72pt" color="#000000" joinstyle="bevel"/>
                <v:imagedata o:title=""/>
                <o:lock v:ext="edit" aspectratio="f"/>
              </v:shape>
              <w10:wrap type="square"/>
            </v:group>
          </w:pict>
        </mc:Fallback>
      </mc:AlternateContent>
    </w:r>
  </w:p>
  <w:p>
    <w:pPr>
      <w:spacing w:line="240" w:lineRule="auto"/>
      <w:ind w:firstLine="560"/>
      <w:jc w:val="center"/>
    </w:pPr>
    <w:r>
      <w:fldChar w:fldCharType="begin"/>
    </w:r>
    <w:r>
      <w:instrText xml:space="preserve"> PAGE   \* MERGEFORMAT </w:instrText>
    </w:r>
    <w:r>
      <w:fldChar w:fldCharType="separate"/>
    </w:r>
    <w:r>
      <w:rPr>
        <w:rFonts w:hint="eastAsia" w:ascii="Times New Roman" w:hAnsi="Times New Roman" w:eastAsia="Times New Roman" w:cs="Times New Roman"/>
        <w:sz w:val="18"/>
      </w:rPr>
      <w:t>6</w:t>
    </w:r>
    <w:r>
      <w:rPr>
        <w:rFonts w:ascii="Times New Roman" w:hAnsi="Times New Roman" w:eastAsia="Times New Roman" w:cs="Times New Roman"/>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938"/>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360"/>
          <w:jc w:val="center"/>
          <w:rPr>
            <w:rFonts w:asciiTheme="minorEastAsia" w:hAnsiTheme="minorEastAsia" w:eastAsiaTheme="minorEastAsia"/>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99</w:t>
        </w:r>
        <w:r>
          <w:rPr>
            <w:rFonts w:asciiTheme="minorEastAsia" w:hAnsiTheme="minorEastAsia" w:eastAsiaTheme="minorEastAsia"/>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882"/>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360"/>
          <w:jc w:val="center"/>
          <w:rPr>
            <w:rFonts w:asciiTheme="minorEastAsia" w:hAnsiTheme="minorEastAsia" w:eastAsiaTheme="minorEastAsia"/>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4</w:t>
        </w:r>
        <w:r>
          <w:rPr>
            <w:rFonts w:asciiTheme="minorEastAsia" w:hAnsiTheme="minorEastAsia" w:eastAsiaTheme="minorEastAsia"/>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890"/>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360"/>
          <w:jc w:val="cente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27</w:t>
        </w:r>
        <w:r>
          <w:rPr>
            <w:rFonts w:asciiTheme="minorEastAsia" w:hAnsiTheme="minorEastAsia" w:eastAsiaTheme="minorEastAsia"/>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900"/>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360"/>
          <w:jc w:val="cente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34</w:t>
        </w:r>
        <w:r>
          <w:rPr>
            <w:rFonts w:asciiTheme="minorEastAsia" w:hAnsiTheme="minorEastAsia" w:eastAsiaTheme="minorEastAsia"/>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906"/>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360"/>
          <w:jc w:val="cente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37</w:t>
        </w:r>
        <w:r>
          <w:rPr>
            <w:rFonts w:asciiTheme="minorEastAsia" w:hAnsiTheme="minorEastAsia" w:eastAsiaTheme="minorEastAsia"/>
            <w:sz w:val="24"/>
            <w:szCs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560"/>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ind w:firstLine="36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ry2sx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sa8trMQIAAGQEAAAOAAAAAAAAAAEAIAAAAB8BAABkcnMvZTJvRG9jLnhtbFBLBQYA&#10;AAAABgAGAFkBAADCBQAAAAA=&#10;">
              <v:fill on="f" focussize="0,0"/>
              <v:stroke on="f" weight="0.5pt"/>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911"/>
      <w:docPartObj>
        <w:docPartGallery w:val="autotext"/>
      </w:docPartObj>
    </w:sdtPr>
    <w:sdtEndPr>
      <w:rPr>
        <w:rFonts w:asciiTheme="minorEastAsia" w:hAnsiTheme="minorEastAsia" w:eastAsiaTheme="minorEastAsia"/>
        <w:sz w:val="24"/>
        <w:szCs w:val="24"/>
      </w:rPr>
    </w:sdtEndPr>
    <w:sdtContent>
      <w:p>
        <w:pPr>
          <w:pStyle w:val="13"/>
          <w:spacing w:line="240" w:lineRule="auto"/>
          <w:ind w:firstLine="360"/>
          <w:jc w:val="cente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44</w:t>
        </w:r>
        <w:r>
          <w:rPr>
            <w:rFonts w:asciiTheme="minorEastAsia" w:hAnsiTheme="minorEastAsia" w:eastAsiaTheme="minorEastAsia"/>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6" w:lineRule="auto"/>
      <w:ind w:firstLine="5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6" w:lineRule="auto"/>
      <w:ind w:firstLine="5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6" w:lineRule="auto"/>
      <w:ind w:firstLine="5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6" w:lineRule="auto"/>
      <w:ind w:firstLine="440"/>
      <w:jc w:val="both"/>
    </w:pPr>
    <w:r>
      <w:rPr>
        <w:rFonts w:ascii="Calibri" w:hAnsi="Calibri" w:eastAsia="Calibri" w:cs="Calibri"/>
        <w:sz w:val="22"/>
      </w:rPr>
      <mc:AlternateContent>
        <mc:Choice Requires="wpg">
          <w:drawing>
            <wp:anchor distT="0" distB="0" distL="114300" distR="114300" simplePos="0" relativeHeight="251660288" behindDoc="0" locked="0" layoutInCell="1" allowOverlap="1">
              <wp:simplePos x="0" y="0"/>
              <wp:positionH relativeFrom="page">
                <wp:posOffset>1694815</wp:posOffset>
              </wp:positionH>
              <wp:positionV relativeFrom="page">
                <wp:posOffset>918845</wp:posOffset>
              </wp:positionV>
              <wp:extent cx="4614545" cy="8890"/>
              <wp:effectExtent l="0" t="0" r="0" b="0"/>
              <wp:wrapSquare wrapText="bothSides"/>
              <wp:docPr id="8" name="Group 387223"/>
              <wp:cNvGraphicFramePr/>
              <a:graphic xmlns:a="http://schemas.openxmlformats.org/drawingml/2006/main">
                <a:graphicData uri="http://schemas.microsoft.com/office/word/2010/wordprocessingGroup">
                  <wpg:wgp>
                    <wpg:cNvGrpSpPr/>
                    <wpg:grpSpPr>
                      <a:xfrm>
                        <a:off x="0" y="0"/>
                        <a:ext cx="4614545" cy="8890"/>
                        <a:chOff x="0" y="0"/>
                        <a:chExt cx="4614799" cy="9144203"/>
                      </a:xfrm>
                    </wpg:grpSpPr>
                    <wps:wsp>
                      <wps:cNvPr id="3" name="Shape 387224"/>
                      <wps:cNvSpPr/>
                      <wps:spPr>
                        <a:xfrm>
                          <a:off x="0" y="0"/>
                          <a:ext cx="4614799" cy="0"/>
                        </a:xfrm>
                        <a:custGeom>
                          <a:avLst/>
                          <a:gdLst>
                            <a:gd name="A1" fmla="val 0"/>
                            <a:gd name="A2" fmla="val 0"/>
                            <a:gd name="A3" fmla="val 0"/>
                          </a:gdLst>
                          <a:ahLst/>
                          <a:cxnLst/>
                          <a:pathLst>
                            <a:path w="4614799" h="1">
                              <a:moveTo>
                                <a:pt x="0" y="0"/>
                              </a:moveTo>
                              <a:lnTo>
                                <a:pt x="4614799" y="0"/>
                              </a:lnTo>
                            </a:path>
                          </a:pathLst>
                        </a:custGeom>
                        <a:noFill/>
                        <a:ln w="9144" cap="flat" cmpd="sng">
                          <a:solidFill>
                            <a:srgbClr val="000000"/>
                          </a:solidFill>
                          <a:prstDash val="solid"/>
                          <a:bevel/>
                          <a:headEnd type="none" w="med" len="med"/>
                          <a:tailEnd type="none" w="med" len="med"/>
                        </a:ln>
                      </wps:spPr>
                      <wps:bodyPr upright="1"/>
                    </wps:wsp>
                  </wpg:wgp>
                </a:graphicData>
              </a:graphic>
            </wp:anchor>
          </w:drawing>
        </mc:Choice>
        <mc:Fallback>
          <w:pict>
            <v:group id="Group 387223" o:spid="_x0000_s1026" o:spt="203" style="position:absolute;left:0pt;margin-left:133.45pt;margin-top:72.35pt;height:0.7pt;width:363.35pt;mso-position-horizontal-relative:page;mso-position-vertical-relative:page;mso-wrap-distance-bottom:0pt;mso-wrap-distance-left:9pt;mso-wrap-distance-right:9pt;mso-wrap-distance-top:0pt;z-index:251660288;mso-width-relative:page;mso-height-relative:page;" coordsize="4614799,9144203" o:gfxdata="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1W1vM2wAAAAsBAAAPAAAAAAAAAAEAIAAAACIAAABkcnMvZG93bnJldi54bWxQSwECFAAUAAAA&#10;CACHTuJAmzl4zJYCAAAoBgAADgAAAAAAAAABACAAAAAqAQAAZHJzL2Uyb0RvYy54bWxQSwUGAAAA&#10;AAYABgBZAQAAMgYAAAAA&#10;">
              <o:lock v:ext="edit" aspectratio="f"/>
              <v:shape id="Shape 387224" o:spid="_x0000_s1026" o:spt="100" style="position:absolute;left:0;top:0;height:0;width:4614799;" filled="f" stroked="t" coordsize="4614799,1" o:gfxdata="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7pIar4A&#10;AADaAAAADwAAAAAAAAABACAAAAAiAAAAZHJzL2Rvd25yZXYueG1sUEsBAhQAFAAAAAgAh07iQDMv&#10;BZ47AAAAOQAAABAAAAAAAAAAAQAgAAAADQEAAGRycy9zaGFwZXhtbC54bWxQSwUGAAAAAAYABgBb&#10;AQAAtwMAAAAA&#10;" path="m0,0l4614799,0e">
                <v:fill on="f" focussize="0,0"/>
                <v:stroke weight="0.72pt" color="#000000" joinstyle="bevel"/>
                <v:imagedata o:title=""/>
                <o:lock v:ext="edit" aspectratio="f"/>
              </v:shape>
              <w10:wrap type="squar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6" w:lineRule="auto"/>
      <w:ind w:firstLine="5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6" w:lineRule="auto"/>
      <w:ind w:firstLine="5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6" w:lineRule="auto"/>
      <w:ind w:firstLine="5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6" w:lineRule="auto"/>
      <w:ind w:firstLine="5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hideSpellingErrors/>
  <w:documentProtection w:enforcement="0"/>
  <w:defaultTabStop w:val="420"/>
  <w:drawingGridHorizontalSpacing w:val="140"/>
  <w:drawingGridVerticalSpacing w:val="381"/>
  <w:displayHorizontalDrawingGridEvery w:val="2"/>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2NDk2MzBkNjMwMjBhOGNkOTVhOWUwZTgzOThhNmUifQ=="/>
  </w:docVars>
  <w:rsids>
    <w:rsidRoot w:val="3DB5435E"/>
    <w:rsid w:val="000421A7"/>
    <w:rsid w:val="000673E7"/>
    <w:rsid w:val="00093103"/>
    <w:rsid w:val="000934F1"/>
    <w:rsid w:val="00093A40"/>
    <w:rsid w:val="000A7B20"/>
    <w:rsid w:val="000B6198"/>
    <w:rsid w:val="000C1A4D"/>
    <w:rsid w:val="000C4908"/>
    <w:rsid w:val="000E5E94"/>
    <w:rsid w:val="000F09B9"/>
    <w:rsid w:val="00130C3D"/>
    <w:rsid w:val="00156BE5"/>
    <w:rsid w:val="00160B70"/>
    <w:rsid w:val="0017403C"/>
    <w:rsid w:val="00176893"/>
    <w:rsid w:val="001800DA"/>
    <w:rsid w:val="00195787"/>
    <w:rsid w:val="00196063"/>
    <w:rsid w:val="001A029C"/>
    <w:rsid w:val="001A4DC6"/>
    <w:rsid w:val="001A78F3"/>
    <w:rsid w:val="001B50BB"/>
    <w:rsid w:val="001C1424"/>
    <w:rsid w:val="001D04C6"/>
    <w:rsid w:val="001E3FE7"/>
    <w:rsid w:val="001F4861"/>
    <w:rsid w:val="001F753A"/>
    <w:rsid w:val="00211A8A"/>
    <w:rsid w:val="002132AB"/>
    <w:rsid w:val="002364AB"/>
    <w:rsid w:val="002426E5"/>
    <w:rsid w:val="00295EFF"/>
    <w:rsid w:val="002975F0"/>
    <w:rsid w:val="002A6C01"/>
    <w:rsid w:val="002C3D7F"/>
    <w:rsid w:val="002C724A"/>
    <w:rsid w:val="002D4C74"/>
    <w:rsid w:val="002D7F74"/>
    <w:rsid w:val="002E5855"/>
    <w:rsid w:val="00322849"/>
    <w:rsid w:val="00330A70"/>
    <w:rsid w:val="00332275"/>
    <w:rsid w:val="00336A32"/>
    <w:rsid w:val="00342552"/>
    <w:rsid w:val="00346873"/>
    <w:rsid w:val="00351032"/>
    <w:rsid w:val="003718EB"/>
    <w:rsid w:val="003A58A0"/>
    <w:rsid w:val="003C0757"/>
    <w:rsid w:val="003E16B0"/>
    <w:rsid w:val="003E5828"/>
    <w:rsid w:val="004111D9"/>
    <w:rsid w:val="00413813"/>
    <w:rsid w:val="00423C6D"/>
    <w:rsid w:val="00430EFD"/>
    <w:rsid w:val="0044539C"/>
    <w:rsid w:val="00454CDA"/>
    <w:rsid w:val="0046550B"/>
    <w:rsid w:val="00465660"/>
    <w:rsid w:val="00465A0F"/>
    <w:rsid w:val="0047391B"/>
    <w:rsid w:val="00476049"/>
    <w:rsid w:val="0048183C"/>
    <w:rsid w:val="00492FDE"/>
    <w:rsid w:val="00495C20"/>
    <w:rsid w:val="004A3B67"/>
    <w:rsid w:val="004B4264"/>
    <w:rsid w:val="004B649A"/>
    <w:rsid w:val="004D5654"/>
    <w:rsid w:val="004E02A0"/>
    <w:rsid w:val="00500330"/>
    <w:rsid w:val="00530D0C"/>
    <w:rsid w:val="005323D6"/>
    <w:rsid w:val="0053508B"/>
    <w:rsid w:val="005528EE"/>
    <w:rsid w:val="0055606F"/>
    <w:rsid w:val="005605CA"/>
    <w:rsid w:val="00583BB8"/>
    <w:rsid w:val="005904E3"/>
    <w:rsid w:val="00590B5C"/>
    <w:rsid w:val="005A5EA5"/>
    <w:rsid w:val="005C0322"/>
    <w:rsid w:val="005C2394"/>
    <w:rsid w:val="005F357B"/>
    <w:rsid w:val="00605CAB"/>
    <w:rsid w:val="00614240"/>
    <w:rsid w:val="006235E1"/>
    <w:rsid w:val="00645991"/>
    <w:rsid w:val="00646D9C"/>
    <w:rsid w:val="006509FE"/>
    <w:rsid w:val="00662236"/>
    <w:rsid w:val="00676295"/>
    <w:rsid w:val="00681179"/>
    <w:rsid w:val="0069460F"/>
    <w:rsid w:val="006A1435"/>
    <w:rsid w:val="006A4FC6"/>
    <w:rsid w:val="006D25DB"/>
    <w:rsid w:val="006D2FA1"/>
    <w:rsid w:val="007318CE"/>
    <w:rsid w:val="007543AA"/>
    <w:rsid w:val="00755DF0"/>
    <w:rsid w:val="00757299"/>
    <w:rsid w:val="00774931"/>
    <w:rsid w:val="007819A2"/>
    <w:rsid w:val="00781BB3"/>
    <w:rsid w:val="0078243F"/>
    <w:rsid w:val="007843E0"/>
    <w:rsid w:val="00786A2E"/>
    <w:rsid w:val="00790681"/>
    <w:rsid w:val="00792453"/>
    <w:rsid w:val="007B1305"/>
    <w:rsid w:val="007B2F2F"/>
    <w:rsid w:val="007B7AA3"/>
    <w:rsid w:val="007C0F2D"/>
    <w:rsid w:val="008031FF"/>
    <w:rsid w:val="008112DD"/>
    <w:rsid w:val="00811C7A"/>
    <w:rsid w:val="00814795"/>
    <w:rsid w:val="00817CB1"/>
    <w:rsid w:val="00821B6B"/>
    <w:rsid w:val="008322BB"/>
    <w:rsid w:val="0083544D"/>
    <w:rsid w:val="00837210"/>
    <w:rsid w:val="00843D73"/>
    <w:rsid w:val="00846033"/>
    <w:rsid w:val="00847FC8"/>
    <w:rsid w:val="00851576"/>
    <w:rsid w:val="00864FD0"/>
    <w:rsid w:val="008B26A1"/>
    <w:rsid w:val="008C486D"/>
    <w:rsid w:val="008D0506"/>
    <w:rsid w:val="008E21C4"/>
    <w:rsid w:val="008E2ECE"/>
    <w:rsid w:val="00913A92"/>
    <w:rsid w:val="0096048D"/>
    <w:rsid w:val="0098595B"/>
    <w:rsid w:val="009A13B3"/>
    <w:rsid w:val="009B03BB"/>
    <w:rsid w:val="009C337D"/>
    <w:rsid w:val="009D06BE"/>
    <w:rsid w:val="009D13A4"/>
    <w:rsid w:val="009D7EE7"/>
    <w:rsid w:val="009F40FA"/>
    <w:rsid w:val="009F54A2"/>
    <w:rsid w:val="00A04C73"/>
    <w:rsid w:val="00A05665"/>
    <w:rsid w:val="00A95130"/>
    <w:rsid w:val="00AA3FD5"/>
    <w:rsid w:val="00AB2DC2"/>
    <w:rsid w:val="00AD0702"/>
    <w:rsid w:val="00AD2310"/>
    <w:rsid w:val="00AD3CD0"/>
    <w:rsid w:val="00AE2C49"/>
    <w:rsid w:val="00AF78CA"/>
    <w:rsid w:val="00B0073A"/>
    <w:rsid w:val="00B01130"/>
    <w:rsid w:val="00B015B9"/>
    <w:rsid w:val="00B1177C"/>
    <w:rsid w:val="00B4026E"/>
    <w:rsid w:val="00B44C7C"/>
    <w:rsid w:val="00B573A9"/>
    <w:rsid w:val="00B70489"/>
    <w:rsid w:val="00B82130"/>
    <w:rsid w:val="00BB07C9"/>
    <w:rsid w:val="00C01BCC"/>
    <w:rsid w:val="00C065C9"/>
    <w:rsid w:val="00C12CA7"/>
    <w:rsid w:val="00C17B07"/>
    <w:rsid w:val="00C24C0F"/>
    <w:rsid w:val="00C30909"/>
    <w:rsid w:val="00C517D5"/>
    <w:rsid w:val="00C52D0E"/>
    <w:rsid w:val="00C56FCD"/>
    <w:rsid w:val="00C63EA9"/>
    <w:rsid w:val="00C70535"/>
    <w:rsid w:val="00C71655"/>
    <w:rsid w:val="00CA3716"/>
    <w:rsid w:val="00CC3C02"/>
    <w:rsid w:val="00CE3A4F"/>
    <w:rsid w:val="00CE569A"/>
    <w:rsid w:val="00CE5BF1"/>
    <w:rsid w:val="00D00025"/>
    <w:rsid w:val="00D17FFC"/>
    <w:rsid w:val="00D24020"/>
    <w:rsid w:val="00D47838"/>
    <w:rsid w:val="00D54BF3"/>
    <w:rsid w:val="00D64AE1"/>
    <w:rsid w:val="00D70BA2"/>
    <w:rsid w:val="00D763F7"/>
    <w:rsid w:val="00D85EA9"/>
    <w:rsid w:val="00D93070"/>
    <w:rsid w:val="00DA47A5"/>
    <w:rsid w:val="00DC1C56"/>
    <w:rsid w:val="00DC3DA5"/>
    <w:rsid w:val="00DC5E6F"/>
    <w:rsid w:val="00DC6A35"/>
    <w:rsid w:val="00DD1066"/>
    <w:rsid w:val="00DD15F3"/>
    <w:rsid w:val="00DE023B"/>
    <w:rsid w:val="00E15234"/>
    <w:rsid w:val="00E323A4"/>
    <w:rsid w:val="00E66660"/>
    <w:rsid w:val="00E865AF"/>
    <w:rsid w:val="00E869AE"/>
    <w:rsid w:val="00ED2124"/>
    <w:rsid w:val="00F05327"/>
    <w:rsid w:val="00F12F89"/>
    <w:rsid w:val="00F144D6"/>
    <w:rsid w:val="00F30829"/>
    <w:rsid w:val="00F33658"/>
    <w:rsid w:val="00F907CF"/>
    <w:rsid w:val="00FA7DCE"/>
    <w:rsid w:val="00FB152C"/>
    <w:rsid w:val="00FB17E9"/>
    <w:rsid w:val="00FB532F"/>
    <w:rsid w:val="00FC52B2"/>
    <w:rsid w:val="00FE2641"/>
    <w:rsid w:val="010541DA"/>
    <w:rsid w:val="01161381"/>
    <w:rsid w:val="01233A9E"/>
    <w:rsid w:val="01244D78"/>
    <w:rsid w:val="01435275"/>
    <w:rsid w:val="01437C9C"/>
    <w:rsid w:val="01452DA4"/>
    <w:rsid w:val="015123B9"/>
    <w:rsid w:val="0159301C"/>
    <w:rsid w:val="016519C1"/>
    <w:rsid w:val="016539DF"/>
    <w:rsid w:val="016711EC"/>
    <w:rsid w:val="01791910"/>
    <w:rsid w:val="017B6E38"/>
    <w:rsid w:val="017C6D0A"/>
    <w:rsid w:val="018207C5"/>
    <w:rsid w:val="01877B89"/>
    <w:rsid w:val="018A0DDB"/>
    <w:rsid w:val="019E3125"/>
    <w:rsid w:val="01A66AC4"/>
    <w:rsid w:val="01AD1354"/>
    <w:rsid w:val="01AF179F"/>
    <w:rsid w:val="01B36BD0"/>
    <w:rsid w:val="01B92376"/>
    <w:rsid w:val="01C20BC1"/>
    <w:rsid w:val="01C6533E"/>
    <w:rsid w:val="01C75589"/>
    <w:rsid w:val="01D07F31"/>
    <w:rsid w:val="01E55632"/>
    <w:rsid w:val="01E90844"/>
    <w:rsid w:val="01ED1741"/>
    <w:rsid w:val="021A38A7"/>
    <w:rsid w:val="02252B4A"/>
    <w:rsid w:val="0227311A"/>
    <w:rsid w:val="0235202E"/>
    <w:rsid w:val="023A7019"/>
    <w:rsid w:val="023B1AAA"/>
    <w:rsid w:val="0247123E"/>
    <w:rsid w:val="024912E2"/>
    <w:rsid w:val="024C6518"/>
    <w:rsid w:val="0261487E"/>
    <w:rsid w:val="02630139"/>
    <w:rsid w:val="0264055E"/>
    <w:rsid w:val="02714395"/>
    <w:rsid w:val="02783976"/>
    <w:rsid w:val="0293255D"/>
    <w:rsid w:val="029702A0"/>
    <w:rsid w:val="029B4BA2"/>
    <w:rsid w:val="029C3585"/>
    <w:rsid w:val="02A20B44"/>
    <w:rsid w:val="02AA34FF"/>
    <w:rsid w:val="02AE1145"/>
    <w:rsid w:val="02BC3862"/>
    <w:rsid w:val="02BE185D"/>
    <w:rsid w:val="02C41C87"/>
    <w:rsid w:val="02C71B24"/>
    <w:rsid w:val="02D92666"/>
    <w:rsid w:val="02DA1F3A"/>
    <w:rsid w:val="02DF39F5"/>
    <w:rsid w:val="02E76938"/>
    <w:rsid w:val="02E917C6"/>
    <w:rsid w:val="02F456F2"/>
    <w:rsid w:val="03074BAA"/>
    <w:rsid w:val="03084CFA"/>
    <w:rsid w:val="0310678F"/>
    <w:rsid w:val="031E739C"/>
    <w:rsid w:val="0322191F"/>
    <w:rsid w:val="0323640E"/>
    <w:rsid w:val="03353615"/>
    <w:rsid w:val="03395C8A"/>
    <w:rsid w:val="033B50CF"/>
    <w:rsid w:val="03541CED"/>
    <w:rsid w:val="035E360E"/>
    <w:rsid w:val="03644906"/>
    <w:rsid w:val="03655CA8"/>
    <w:rsid w:val="0365651E"/>
    <w:rsid w:val="036E177C"/>
    <w:rsid w:val="0370464D"/>
    <w:rsid w:val="03787C18"/>
    <w:rsid w:val="03792C03"/>
    <w:rsid w:val="03795BF7"/>
    <w:rsid w:val="037D72A2"/>
    <w:rsid w:val="038C39DC"/>
    <w:rsid w:val="03915E5C"/>
    <w:rsid w:val="0397607D"/>
    <w:rsid w:val="03A31E0D"/>
    <w:rsid w:val="03A34A22"/>
    <w:rsid w:val="03AC1B29"/>
    <w:rsid w:val="03B31109"/>
    <w:rsid w:val="03C52BEB"/>
    <w:rsid w:val="03CC26D3"/>
    <w:rsid w:val="03E07A24"/>
    <w:rsid w:val="03E21700"/>
    <w:rsid w:val="03EF5EB9"/>
    <w:rsid w:val="03F92894"/>
    <w:rsid w:val="03FB2156"/>
    <w:rsid w:val="03FB6C69"/>
    <w:rsid w:val="04020C73"/>
    <w:rsid w:val="040320C1"/>
    <w:rsid w:val="04075C0E"/>
    <w:rsid w:val="040C0819"/>
    <w:rsid w:val="04114082"/>
    <w:rsid w:val="041201CF"/>
    <w:rsid w:val="04366E94"/>
    <w:rsid w:val="044430C5"/>
    <w:rsid w:val="04531B47"/>
    <w:rsid w:val="04575F38"/>
    <w:rsid w:val="046D5305"/>
    <w:rsid w:val="04763EE5"/>
    <w:rsid w:val="047A39D5"/>
    <w:rsid w:val="047C4792"/>
    <w:rsid w:val="047D1890"/>
    <w:rsid w:val="04806B11"/>
    <w:rsid w:val="04814D63"/>
    <w:rsid w:val="048C17BF"/>
    <w:rsid w:val="048D195A"/>
    <w:rsid w:val="048E51A9"/>
    <w:rsid w:val="04926F71"/>
    <w:rsid w:val="04977E1D"/>
    <w:rsid w:val="04A13093"/>
    <w:rsid w:val="04AE18D1"/>
    <w:rsid w:val="04B56917"/>
    <w:rsid w:val="04B96532"/>
    <w:rsid w:val="04CC1D57"/>
    <w:rsid w:val="04D07A99"/>
    <w:rsid w:val="04E70524"/>
    <w:rsid w:val="04EA6DAD"/>
    <w:rsid w:val="04EB6681"/>
    <w:rsid w:val="04EE6171"/>
    <w:rsid w:val="04EF16F3"/>
    <w:rsid w:val="04EF7F4A"/>
    <w:rsid w:val="04F4592A"/>
    <w:rsid w:val="04F55751"/>
    <w:rsid w:val="04FA4B16"/>
    <w:rsid w:val="05017C52"/>
    <w:rsid w:val="05131B0A"/>
    <w:rsid w:val="05145BD8"/>
    <w:rsid w:val="051536FE"/>
    <w:rsid w:val="05170A1B"/>
    <w:rsid w:val="051E7435"/>
    <w:rsid w:val="0520485B"/>
    <w:rsid w:val="052E656D"/>
    <w:rsid w:val="0532605E"/>
    <w:rsid w:val="053A2647"/>
    <w:rsid w:val="053A3164"/>
    <w:rsid w:val="053C79FF"/>
    <w:rsid w:val="05457C09"/>
    <w:rsid w:val="054B6C6E"/>
    <w:rsid w:val="05511B71"/>
    <w:rsid w:val="05557F9E"/>
    <w:rsid w:val="055A7363"/>
    <w:rsid w:val="055E6E53"/>
    <w:rsid w:val="05626430"/>
    <w:rsid w:val="05650FE9"/>
    <w:rsid w:val="056620FD"/>
    <w:rsid w:val="05687CD1"/>
    <w:rsid w:val="056F72B2"/>
    <w:rsid w:val="057C19CF"/>
    <w:rsid w:val="058663AA"/>
    <w:rsid w:val="058B39C0"/>
    <w:rsid w:val="05900FD6"/>
    <w:rsid w:val="05914EEE"/>
    <w:rsid w:val="0595291C"/>
    <w:rsid w:val="059605C8"/>
    <w:rsid w:val="05A0746B"/>
    <w:rsid w:val="05AB5E10"/>
    <w:rsid w:val="05BC1DCB"/>
    <w:rsid w:val="05C95347"/>
    <w:rsid w:val="05D610DF"/>
    <w:rsid w:val="05D6477A"/>
    <w:rsid w:val="05DD246D"/>
    <w:rsid w:val="05E62EEC"/>
    <w:rsid w:val="05ED2BE6"/>
    <w:rsid w:val="05EE2780"/>
    <w:rsid w:val="05FE23E4"/>
    <w:rsid w:val="060D2419"/>
    <w:rsid w:val="060F45F1"/>
    <w:rsid w:val="06135E55"/>
    <w:rsid w:val="0615527A"/>
    <w:rsid w:val="061A4248"/>
    <w:rsid w:val="061C3833"/>
    <w:rsid w:val="06284D83"/>
    <w:rsid w:val="062F259D"/>
    <w:rsid w:val="06314567"/>
    <w:rsid w:val="063220AE"/>
    <w:rsid w:val="06346446"/>
    <w:rsid w:val="063758CB"/>
    <w:rsid w:val="063A0125"/>
    <w:rsid w:val="064F530D"/>
    <w:rsid w:val="065A3ABE"/>
    <w:rsid w:val="065B5A05"/>
    <w:rsid w:val="065B5A88"/>
    <w:rsid w:val="065D710A"/>
    <w:rsid w:val="066401BE"/>
    <w:rsid w:val="066B7191"/>
    <w:rsid w:val="06710E08"/>
    <w:rsid w:val="06732DD2"/>
    <w:rsid w:val="067B0147"/>
    <w:rsid w:val="067B73C0"/>
    <w:rsid w:val="067D5675"/>
    <w:rsid w:val="06813841"/>
    <w:rsid w:val="068A046F"/>
    <w:rsid w:val="0692007F"/>
    <w:rsid w:val="069433FD"/>
    <w:rsid w:val="0697033E"/>
    <w:rsid w:val="06984CD2"/>
    <w:rsid w:val="06A42F8B"/>
    <w:rsid w:val="06A74829"/>
    <w:rsid w:val="06AD762C"/>
    <w:rsid w:val="06B630BC"/>
    <w:rsid w:val="06BA42E2"/>
    <w:rsid w:val="06BC4A96"/>
    <w:rsid w:val="06C61153"/>
    <w:rsid w:val="06CC34CE"/>
    <w:rsid w:val="06D679DB"/>
    <w:rsid w:val="06E73D94"/>
    <w:rsid w:val="06E826D1"/>
    <w:rsid w:val="06EC66E0"/>
    <w:rsid w:val="06EE5866"/>
    <w:rsid w:val="07047B6E"/>
    <w:rsid w:val="070659F4"/>
    <w:rsid w:val="07195727"/>
    <w:rsid w:val="071A324D"/>
    <w:rsid w:val="071C0D73"/>
    <w:rsid w:val="07261BF2"/>
    <w:rsid w:val="072B545A"/>
    <w:rsid w:val="07306DA6"/>
    <w:rsid w:val="07373D28"/>
    <w:rsid w:val="07397B77"/>
    <w:rsid w:val="075E75DE"/>
    <w:rsid w:val="07634BF4"/>
    <w:rsid w:val="0765096C"/>
    <w:rsid w:val="076759C7"/>
    <w:rsid w:val="076D7821"/>
    <w:rsid w:val="07752EE4"/>
    <w:rsid w:val="077C74E6"/>
    <w:rsid w:val="077C7A64"/>
    <w:rsid w:val="078A3527"/>
    <w:rsid w:val="079052BE"/>
    <w:rsid w:val="079275D3"/>
    <w:rsid w:val="07994268"/>
    <w:rsid w:val="079A613C"/>
    <w:rsid w:val="079E79DA"/>
    <w:rsid w:val="07AD5A46"/>
    <w:rsid w:val="07AE5B6E"/>
    <w:rsid w:val="07AF75AD"/>
    <w:rsid w:val="07C3066F"/>
    <w:rsid w:val="07C54E00"/>
    <w:rsid w:val="07C56F28"/>
    <w:rsid w:val="07CA6A21"/>
    <w:rsid w:val="07CB4548"/>
    <w:rsid w:val="07CD7683"/>
    <w:rsid w:val="07CF5DE6"/>
    <w:rsid w:val="07D01B5E"/>
    <w:rsid w:val="07D46211"/>
    <w:rsid w:val="07DB0467"/>
    <w:rsid w:val="07DE306B"/>
    <w:rsid w:val="07EE3D22"/>
    <w:rsid w:val="07F92E63"/>
    <w:rsid w:val="07FD563B"/>
    <w:rsid w:val="080C5AFA"/>
    <w:rsid w:val="080D4B60"/>
    <w:rsid w:val="08155C5D"/>
    <w:rsid w:val="082D0FA0"/>
    <w:rsid w:val="0834293F"/>
    <w:rsid w:val="084635EB"/>
    <w:rsid w:val="085809FE"/>
    <w:rsid w:val="08581F7C"/>
    <w:rsid w:val="085A5FF7"/>
    <w:rsid w:val="085D7896"/>
    <w:rsid w:val="08611434"/>
    <w:rsid w:val="087150EF"/>
    <w:rsid w:val="0878022B"/>
    <w:rsid w:val="0878647D"/>
    <w:rsid w:val="087C3466"/>
    <w:rsid w:val="088017D6"/>
    <w:rsid w:val="08846EB4"/>
    <w:rsid w:val="088626FB"/>
    <w:rsid w:val="0898461B"/>
    <w:rsid w:val="08AA2FAC"/>
    <w:rsid w:val="08B2735C"/>
    <w:rsid w:val="08BD0334"/>
    <w:rsid w:val="08C82978"/>
    <w:rsid w:val="08D53438"/>
    <w:rsid w:val="08D538D0"/>
    <w:rsid w:val="08D628C5"/>
    <w:rsid w:val="08D76F01"/>
    <w:rsid w:val="08E27D9B"/>
    <w:rsid w:val="08F17FDE"/>
    <w:rsid w:val="08FD305C"/>
    <w:rsid w:val="09037DC2"/>
    <w:rsid w:val="09046C2E"/>
    <w:rsid w:val="09092DE7"/>
    <w:rsid w:val="091A5787"/>
    <w:rsid w:val="091D1F66"/>
    <w:rsid w:val="093406FB"/>
    <w:rsid w:val="09376339"/>
    <w:rsid w:val="094445B2"/>
    <w:rsid w:val="094D2041"/>
    <w:rsid w:val="09554A11"/>
    <w:rsid w:val="095742E5"/>
    <w:rsid w:val="095F3199"/>
    <w:rsid w:val="0963712E"/>
    <w:rsid w:val="09660DE7"/>
    <w:rsid w:val="096A04BC"/>
    <w:rsid w:val="096B1B3E"/>
    <w:rsid w:val="097C450B"/>
    <w:rsid w:val="098175B4"/>
    <w:rsid w:val="09916767"/>
    <w:rsid w:val="099A0675"/>
    <w:rsid w:val="09A11A04"/>
    <w:rsid w:val="09AD03A9"/>
    <w:rsid w:val="09BC1BCA"/>
    <w:rsid w:val="09C35CCB"/>
    <w:rsid w:val="09D04097"/>
    <w:rsid w:val="09D21222"/>
    <w:rsid w:val="09DD3FC3"/>
    <w:rsid w:val="09E35B78"/>
    <w:rsid w:val="09E46C23"/>
    <w:rsid w:val="09E536DB"/>
    <w:rsid w:val="09ED170D"/>
    <w:rsid w:val="09F20B72"/>
    <w:rsid w:val="0A096DD5"/>
    <w:rsid w:val="0A0D52EB"/>
    <w:rsid w:val="0A104CF8"/>
    <w:rsid w:val="0A157CFC"/>
    <w:rsid w:val="0A172A50"/>
    <w:rsid w:val="0A2D479C"/>
    <w:rsid w:val="0A2E773B"/>
    <w:rsid w:val="0A2F5262"/>
    <w:rsid w:val="0A2F7010"/>
    <w:rsid w:val="0A323997"/>
    <w:rsid w:val="0A40746F"/>
    <w:rsid w:val="0A4D7496"/>
    <w:rsid w:val="0A507D17"/>
    <w:rsid w:val="0A5371A2"/>
    <w:rsid w:val="0A5627EE"/>
    <w:rsid w:val="0A5C592B"/>
    <w:rsid w:val="0A637B5A"/>
    <w:rsid w:val="0A656ED5"/>
    <w:rsid w:val="0A717628"/>
    <w:rsid w:val="0A7E436B"/>
    <w:rsid w:val="0A963959"/>
    <w:rsid w:val="0A984B81"/>
    <w:rsid w:val="0A9F0AA1"/>
    <w:rsid w:val="0AA23C6C"/>
    <w:rsid w:val="0AA963FE"/>
    <w:rsid w:val="0AAF60C7"/>
    <w:rsid w:val="0ACA1D3B"/>
    <w:rsid w:val="0ACB4F8A"/>
    <w:rsid w:val="0ADD081A"/>
    <w:rsid w:val="0AE41BA8"/>
    <w:rsid w:val="0AFD2C6A"/>
    <w:rsid w:val="0AFD3643"/>
    <w:rsid w:val="0B02327B"/>
    <w:rsid w:val="0B04049C"/>
    <w:rsid w:val="0B071D3B"/>
    <w:rsid w:val="0B1E4B06"/>
    <w:rsid w:val="0B1F63DD"/>
    <w:rsid w:val="0B2B728C"/>
    <w:rsid w:val="0B310B66"/>
    <w:rsid w:val="0B330D82"/>
    <w:rsid w:val="0B334C31"/>
    <w:rsid w:val="0B3E3639"/>
    <w:rsid w:val="0B605B3B"/>
    <w:rsid w:val="0B714CCE"/>
    <w:rsid w:val="0B792C38"/>
    <w:rsid w:val="0B8679A1"/>
    <w:rsid w:val="0B907F82"/>
    <w:rsid w:val="0B927856"/>
    <w:rsid w:val="0BA565F7"/>
    <w:rsid w:val="0BA63A89"/>
    <w:rsid w:val="0BA87AD2"/>
    <w:rsid w:val="0BAF4BB5"/>
    <w:rsid w:val="0BB43C70"/>
    <w:rsid w:val="0BB72DAB"/>
    <w:rsid w:val="0BCC66FA"/>
    <w:rsid w:val="0BD22349"/>
    <w:rsid w:val="0BD460C1"/>
    <w:rsid w:val="0BE04A65"/>
    <w:rsid w:val="0BE61950"/>
    <w:rsid w:val="0BED7182"/>
    <w:rsid w:val="0BEE18F4"/>
    <w:rsid w:val="0BEF2EFA"/>
    <w:rsid w:val="0C0A338F"/>
    <w:rsid w:val="0C0D3381"/>
    <w:rsid w:val="0C14470F"/>
    <w:rsid w:val="0C1B3CF0"/>
    <w:rsid w:val="0C283CB1"/>
    <w:rsid w:val="0C302B0A"/>
    <w:rsid w:val="0C3B199C"/>
    <w:rsid w:val="0C4A6383"/>
    <w:rsid w:val="0C523489"/>
    <w:rsid w:val="0C542D5E"/>
    <w:rsid w:val="0C652F33"/>
    <w:rsid w:val="0C692CAD"/>
    <w:rsid w:val="0C756913"/>
    <w:rsid w:val="0C8317C7"/>
    <w:rsid w:val="0C965124"/>
    <w:rsid w:val="0CA21D1B"/>
    <w:rsid w:val="0CAA0BCF"/>
    <w:rsid w:val="0CAC0071"/>
    <w:rsid w:val="0CAC0DEC"/>
    <w:rsid w:val="0CAD06C0"/>
    <w:rsid w:val="0CAF4438"/>
    <w:rsid w:val="0CB90E13"/>
    <w:rsid w:val="0CD235DB"/>
    <w:rsid w:val="0CD30126"/>
    <w:rsid w:val="0CD343CA"/>
    <w:rsid w:val="0CD93B7F"/>
    <w:rsid w:val="0CD93E12"/>
    <w:rsid w:val="0CDE6ACB"/>
    <w:rsid w:val="0CED000D"/>
    <w:rsid w:val="0D0E115E"/>
    <w:rsid w:val="0D1725AE"/>
    <w:rsid w:val="0D1A74F3"/>
    <w:rsid w:val="0D2941EA"/>
    <w:rsid w:val="0D2D31A4"/>
    <w:rsid w:val="0D3A1570"/>
    <w:rsid w:val="0D44413F"/>
    <w:rsid w:val="0D534CB2"/>
    <w:rsid w:val="0D54486C"/>
    <w:rsid w:val="0D552A4E"/>
    <w:rsid w:val="0D604C1F"/>
    <w:rsid w:val="0D6A612B"/>
    <w:rsid w:val="0D6A7C87"/>
    <w:rsid w:val="0D6B76B8"/>
    <w:rsid w:val="0D7169EE"/>
    <w:rsid w:val="0D772AD6"/>
    <w:rsid w:val="0D7A1990"/>
    <w:rsid w:val="0D7A6610"/>
    <w:rsid w:val="0D7F305A"/>
    <w:rsid w:val="0D8B6C53"/>
    <w:rsid w:val="0D957AD2"/>
    <w:rsid w:val="0D9812E7"/>
    <w:rsid w:val="0D984ECC"/>
    <w:rsid w:val="0DA63A8D"/>
    <w:rsid w:val="0DA90E87"/>
    <w:rsid w:val="0DAF0B93"/>
    <w:rsid w:val="0DB25F8E"/>
    <w:rsid w:val="0DBE0DD6"/>
    <w:rsid w:val="0DBE1DB6"/>
    <w:rsid w:val="0DC932D7"/>
    <w:rsid w:val="0DD24882"/>
    <w:rsid w:val="0DD34156"/>
    <w:rsid w:val="0DD35035"/>
    <w:rsid w:val="0DD545C8"/>
    <w:rsid w:val="0DD57ECE"/>
    <w:rsid w:val="0DD63193"/>
    <w:rsid w:val="0DE46BA7"/>
    <w:rsid w:val="0DE54846"/>
    <w:rsid w:val="0DE602B8"/>
    <w:rsid w:val="0DED346A"/>
    <w:rsid w:val="0DEE568F"/>
    <w:rsid w:val="0DFE574F"/>
    <w:rsid w:val="0E015041"/>
    <w:rsid w:val="0E0743D1"/>
    <w:rsid w:val="0E1704E7"/>
    <w:rsid w:val="0E32769C"/>
    <w:rsid w:val="0E3966AF"/>
    <w:rsid w:val="0E5057A7"/>
    <w:rsid w:val="0E5200CF"/>
    <w:rsid w:val="0E574D29"/>
    <w:rsid w:val="0E6354DA"/>
    <w:rsid w:val="0E636B32"/>
    <w:rsid w:val="0E66795E"/>
    <w:rsid w:val="0E6C4BE3"/>
    <w:rsid w:val="0E72571D"/>
    <w:rsid w:val="0E7F3B10"/>
    <w:rsid w:val="0E807E3A"/>
    <w:rsid w:val="0E903DF5"/>
    <w:rsid w:val="0E99714E"/>
    <w:rsid w:val="0EA706A2"/>
    <w:rsid w:val="0EA9079E"/>
    <w:rsid w:val="0EAF6971"/>
    <w:rsid w:val="0EBC4BEA"/>
    <w:rsid w:val="0EC03861"/>
    <w:rsid w:val="0ECA37AB"/>
    <w:rsid w:val="0ECB0BCA"/>
    <w:rsid w:val="0ED2559A"/>
    <w:rsid w:val="0ED63EFE"/>
    <w:rsid w:val="0EDB39C9"/>
    <w:rsid w:val="0EE15AC9"/>
    <w:rsid w:val="0EE505E5"/>
    <w:rsid w:val="0EED1247"/>
    <w:rsid w:val="0EFC21E2"/>
    <w:rsid w:val="0F023DFE"/>
    <w:rsid w:val="0F0F11BE"/>
    <w:rsid w:val="0F0F2620"/>
    <w:rsid w:val="0F0F2CD5"/>
    <w:rsid w:val="0F136F00"/>
    <w:rsid w:val="0F1B4006"/>
    <w:rsid w:val="0F2C1D70"/>
    <w:rsid w:val="0F2E6AE0"/>
    <w:rsid w:val="0F2F1860"/>
    <w:rsid w:val="0F346E76"/>
    <w:rsid w:val="0F39623B"/>
    <w:rsid w:val="0F4572DB"/>
    <w:rsid w:val="0F4D06A5"/>
    <w:rsid w:val="0F4E7F38"/>
    <w:rsid w:val="0F56587F"/>
    <w:rsid w:val="0F636653"/>
    <w:rsid w:val="0F6C4862"/>
    <w:rsid w:val="0F6E05DA"/>
    <w:rsid w:val="0F7770B6"/>
    <w:rsid w:val="0F8971C2"/>
    <w:rsid w:val="0F8E544B"/>
    <w:rsid w:val="0F900551"/>
    <w:rsid w:val="0F9C11E5"/>
    <w:rsid w:val="0FA1450C"/>
    <w:rsid w:val="0FB03F41"/>
    <w:rsid w:val="0FB104C7"/>
    <w:rsid w:val="0FB87AA7"/>
    <w:rsid w:val="0FCA6597"/>
    <w:rsid w:val="0FD146C5"/>
    <w:rsid w:val="0FD52407"/>
    <w:rsid w:val="0FE34B24"/>
    <w:rsid w:val="0FEB39D9"/>
    <w:rsid w:val="0FED14FF"/>
    <w:rsid w:val="0FF33C68"/>
    <w:rsid w:val="0FFC5815"/>
    <w:rsid w:val="100B7BD7"/>
    <w:rsid w:val="10167818"/>
    <w:rsid w:val="101A4F37"/>
    <w:rsid w:val="102545C5"/>
    <w:rsid w:val="10314530"/>
    <w:rsid w:val="103B05AE"/>
    <w:rsid w:val="1053332C"/>
    <w:rsid w:val="105E3350"/>
    <w:rsid w:val="106853AC"/>
    <w:rsid w:val="106F460A"/>
    <w:rsid w:val="10790FE5"/>
    <w:rsid w:val="108A31F2"/>
    <w:rsid w:val="109220A6"/>
    <w:rsid w:val="1092654A"/>
    <w:rsid w:val="10945356"/>
    <w:rsid w:val="10A20A01"/>
    <w:rsid w:val="10A75C36"/>
    <w:rsid w:val="10B006D5"/>
    <w:rsid w:val="10B75245"/>
    <w:rsid w:val="10C76252"/>
    <w:rsid w:val="10CC64D5"/>
    <w:rsid w:val="10CF32FA"/>
    <w:rsid w:val="10D60A11"/>
    <w:rsid w:val="10E1375F"/>
    <w:rsid w:val="10E8616A"/>
    <w:rsid w:val="10F21B16"/>
    <w:rsid w:val="10F25B81"/>
    <w:rsid w:val="10F863AD"/>
    <w:rsid w:val="10FE3622"/>
    <w:rsid w:val="10FF437E"/>
    <w:rsid w:val="11050ACA"/>
    <w:rsid w:val="11053D8B"/>
    <w:rsid w:val="110765F0"/>
    <w:rsid w:val="11281176"/>
    <w:rsid w:val="112E6273"/>
    <w:rsid w:val="11396B7C"/>
    <w:rsid w:val="114710E3"/>
    <w:rsid w:val="11553800"/>
    <w:rsid w:val="116C24AD"/>
    <w:rsid w:val="1180115E"/>
    <w:rsid w:val="118A29AE"/>
    <w:rsid w:val="11904838"/>
    <w:rsid w:val="11936CC8"/>
    <w:rsid w:val="11A27EF3"/>
    <w:rsid w:val="11BD1C96"/>
    <w:rsid w:val="11C20FE9"/>
    <w:rsid w:val="11CF15C5"/>
    <w:rsid w:val="11E15093"/>
    <w:rsid w:val="11E7286C"/>
    <w:rsid w:val="11EB4164"/>
    <w:rsid w:val="11F50B3F"/>
    <w:rsid w:val="11F76553"/>
    <w:rsid w:val="11FD199C"/>
    <w:rsid w:val="11FF29B3"/>
    <w:rsid w:val="12026D5B"/>
    <w:rsid w:val="12072620"/>
    <w:rsid w:val="122158EC"/>
    <w:rsid w:val="12241424"/>
    <w:rsid w:val="123D1751"/>
    <w:rsid w:val="123D2B5C"/>
    <w:rsid w:val="123D7EC1"/>
    <w:rsid w:val="124949E7"/>
    <w:rsid w:val="125515DD"/>
    <w:rsid w:val="125C6E10"/>
    <w:rsid w:val="12627DDF"/>
    <w:rsid w:val="1265327A"/>
    <w:rsid w:val="127F48AC"/>
    <w:rsid w:val="12827636"/>
    <w:rsid w:val="128819B3"/>
    <w:rsid w:val="12887AC3"/>
    <w:rsid w:val="128A74D9"/>
    <w:rsid w:val="12940AE0"/>
    <w:rsid w:val="12993DAE"/>
    <w:rsid w:val="1299771C"/>
    <w:rsid w:val="12AF5192"/>
    <w:rsid w:val="12BE7183"/>
    <w:rsid w:val="12CF313E"/>
    <w:rsid w:val="12DD1CFF"/>
    <w:rsid w:val="12E110C3"/>
    <w:rsid w:val="12E15BF5"/>
    <w:rsid w:val="12E52961"/>
    <w:rsid w:val="12ED0DC6"/>
    <w:rsid w:val="12EE0384"/>
    <w:rsid w:val="12F232D0"/>
    <w:rsid w:val="12F76019"/>
    <w:rsid w:val="131012E1"/>
    <w:rsid w:val="13140A84"/>
    <w:rsid w:val="13187D4E"/>
    <w:rsid w:val="13231A70"/>
    <w:rsid w:val="132F62D2"/>
    <w:rsid w:val="13340991"/>
    <w:rsid w:val="133B07D3"/>
    <w:rsid w:val="133F5DC6"/>
    <w:rsid w:val="13412635"/>
    <w:rsid w:val="1346119F"/>
    <w:rsid w:val="13497EFA"/>
    <w:rsid w:val="13511542"/>
    <w:rsid w:val="13534C89"/>
    <w:rsid w:val="135E2714"/>
    <w:rsid w:val="13611394"/>
    <w:rsid w:val="1365575B"/>
    <w:rsid w:val="136648C3"/>
    <w:rsid w:val="136A10B9"/>
    <w:rsid w:val="136A1C78"/>
    <w:rsid w:val="137663A9"/>
    <w:rsid w:val="13806B2E"/>
    <w:rsid w:val="138F28CD"/>
    <w:rsid w:val="139A7BF0"/>
    <w:rsid w:val="139F0B70"/>
    <w:rsid w:val="13A96F76"/>
    <w:rsid w:val="13B62550"/>
    <w:rsid w:val="13BE696C"/>
    <w:rsid w:val="13E04EA0"/>
    <w:rsid w:val="13E7095B"/>
    <w:rsid w:val="13F178AB"/>
    <w:rsid w:val="13FA68E0"/>
    <w:rsid w:val="14003F8D"/>
    <w:rsid w:val="14011A1D"/>
    <w:rsid w:val="14015603"/>
    <w:rsid w:val="14067011"/>
    <w:rsid w:val="140C03C2"/>
    <w:rsid w:val="140E11B4"/>
    <w:rsid w:val="14153FD6"/>
    <w:rsid w:val="141554C8"/>
    <w:rsid w:val="142021C9"/>
    <w:rsid w:val="14592A92"/>
    <w:rsid w:val="145B55E2"/>
    <w:rsid w:val="145E7946"/>
    <w:rsid w:val="147D6BCA"/>
    <w:rsid w:val="148461AA"/>
    <w:rsid w:val="14861F22"/>
    <w:rsid w:val="14891A12"/>
    <w:rsid w:val="148D505F"/>
    <w:rsid w:val="148F7029"/>
    <w:rsid w:val="149503B7"/>
    <w:rsid w:val="14977F40"/>
    <w:rsid w:val="149F3FC7"/>
    <w:rsid w:val="14A51603"/>
    <w:rsid w:val="14AA3B50"/>
    <w:rsid w:val="14AB7BDB"/>
    <w:rsid w:val="14B00D89"/>
    <w:rsid w:val="14B3630E"/>
    <w:rsid w:val="14B42114"/>
    <w:rsid w:val="14C84DC9"/>
    <w:rsid w:val="14D03633"/>
    <w:rsid w:val="14DD1800"/>
    <w:rsid w:val="14E13487"/>
    <w:rsid w:val="14E135FC"/>
    <w:rsid w:val="14E27D5D"/>
    <w:rsid w:val="14E804E7"/>
    <w:rsid w:val="14ED1FA1"/>
    <w:rsid w:val="14EE26EE"/>
    <w:rsid w:val="14EF1875"/>
    <w:rsid w:val="14F926F4"/>
    <w:rsid w:val="15023C9F"/>
    <w:rsid w:val="150317C5"/>
    <w:rsid w:val="1504304E"/>
    <w:rsid w:val="150728B7"/>
    <w:rsid w:val="151550E1"/>
    <w:rsid w:val="15190FE8"/>
    <w:rsid w:val="151A016E"/>
    <w:rsid w:val="151B3500"/>
    <w:rsid w:val="151B3F1A"/>
    <w:rsid w:val="151B6B0E"/>
    <w:rsid w:val="151C3D1D"/>
    <w:rsid w:val="152434A4"/>
    <w:rsid w:val="152705E9"/>
    <w:rsid w:val="152F5400"/>
    <w:rsid w:val="15303B28"/>
    <w:rsid w:val="15347BD0"/>
    <w:rsid w:val="15483721"/>
    <w:rsid w:val="155C5742"/>
    <w:rsid w:val="15625F9A"/>
    <w:rsid w:val="15632A1C"/>
    <w:rsid w:val="157020BA"/>
    <w:rsid w:val="15704718"/>
    <w:rsid w:val="157D50D3"/>
    <w:rsid w:val="15802E15"/>
    <w:rsid w:val="15834D6C"/>
    <w:rsid w:val="158A5A42"/>
    <w:rsid w:val="158F6660"/>
    <w:rsid w:val="159D7523"/>
    <w:rsid w:val="15A40962"/>
    <w:rsid w:val="15B12FCF"/>
    <w:rsid w:val="15B70584"/>
    <w:rsid w:val="15C90318"/>
    <w:rsid w:val="15CE3B81"/>
    <w:rsid w:val="15D3745C"/>
    <w:rsid w:val="15DE18EA"/>
    <w:rsid w:val="15E51F13"/>
    <w:rsid w:val="15E924FB"/>
    <w:rsid w:val="15EA028F"/>
    <w:rsid w:val="15EA39A1"/>
    <w:rsid w:val="15F329A4"/>
    <w:rsid w:val="16026D99"/>
    <w:rsid w:val="16221FAB"/>
    <w:rsid w:val="16225C7A"/>
    <w:rsid w:val="16290DB7"/>
    <w:rsid w:val="163360DA"/>
    <w:rsid w:val="163B24B4"/>
    <w:rsid w:val="16407ECA"/>
    <w:rsid w:val="164241DC"/>
    <w:rsid w:val="164E4CC1"/>
    <w:rsid w:val="16500A3A"/>
    <w:rsid w:val="16533B4A"/>
    <w:rsid w:val="165C0E22"/>
    <w:rsid w:val="16646293"/>
    <w:rsid w:val="166532A8"/>
    <w:rsid w:val="16691AFB"/>
    <w:rsid w:val="167600D9"/>
    <w:rsid w:val="167D36BA"/>
    <w:rsid w:val="16823DE9"/>
    <w:rsid w:val="16857815"/>
    <w:rsid w:val="16895399"/>
    <w:rsid w:val="169F796D"/>
    <w:rsid w:val="16A513BC"/>
    <w:rsid w:val="16A91EF8"/>
    <w:rsid w:val="16AF0285"/>
    <w:rsid w:val="16B234A2"/>
    <w:rsid w:val="16C136E5"/>
    <w:rsid w:val="16C410BF"/>
    <w:rsid w:val="16CD2C0E"/>
    <w:rsid w:val="16D57F19"/>
    <w:rsid w:val="16DF5A1B"/>
    <w:rsid w:val="16E6314C"/>
    <w:rsid w:val="16E65EED"/>
    <w:rsid w:val="16F92E7F"/>
    <w:rsid w:val="17017F86"/>
    <w:rsid w:val="17051824"/>
    <w:rsid w:val="170B7FF2"/>
    <w:rsid w:val="171750B3"/>
    <w:rsid w:val="1719642C"/>
    <w:rsid w:val="172A0D22"/>
    <w:rsid w:val="172C5003"/>
    <w:rsid w:val="172D2DFA"/>
    <w:rsid w:val="17331E45"/>
    <w:rsid w:val="173503D8"/>
    <w:rsid w:val="173C0FBE"/>
    <w:rsid w:val="1740285C"/>
    <w:rsid w:val="17471E3D"/>
    <w:rsid w:val="17487963"/>
    <w:rsid w:val="175B7696"/>
    <w:rsid w:val="17681DB3"/>
    <w:rsid w:val="176A7382"/>
    <w:rsid w:val="176C18A3"/>
    <w:rsid w:val="17773DA4"/>
    <w:rsid w:val="177E2585"/>
    <w:rsid w:val="178F6412"/>
    <w:rsid w:val="17933E49"/>
    <w:rsid w:val="17A50911"/>
    <w:rsid w:val="17A728DB"/>
    <w:rsid w:val="17A80401"/>
    <w:rsid w:val="17BE19D3"/>
    <w:rsid w:val="17C54FF8"/>
    <w:rsid w:val="17D07906"/>
    <w:rsid w:val="17D3378A"/>
    <w:rsid w:val="17DB0718"/>
    <w:rsid w:val="17DB37CE"/>
    <w:rsid w:val="17E6177E"/>
    <w:rsid w:val="17E7717C"/>
    <w:rsid w:val="17E92EF4"/>
    <w:rsid w:val="17F97934"/>
    <w:rsid w:val="18047521"/>
    <w:rsid w:val="18047D2E"/>
    <w:rsid w:val="180E64B6"/>
    <w:rsid w:val="181635BD"/>
    <w:rsid w:val="18176A80"/>
    <w:rsid w:val="181810E3"/>
    <w:rsid w:val="18273A1C"/>
    <w:rsid w:val="18294F8B"/>
    <w:rsid w:val="18297794"/>
    <w:rsid w:val="183D3240"/>
    <w:rsid w:val="184F14B9"/>
    <w:rsid w:val="18506ACF"/>
    <w:rsid w:val="185A5BA0"/>
    <w:rsid w:val="185D2ADA"/>
    <w:rsid w:val="1869193F"/>
    <w:rsid w:val="186B1BB1"/>
    <w:rsid w:val="186D58D3"/>
    <w:rsid w:val="18756535"/>
    <w:rsid w:val="187C7C33"/>
    <w:rsid w:val="1882034F"/>
    <w:rsid w:val="18833F33"/>
    <w:rsid w:val="18855FAF"/>
    <w:rsid w:val="188B1157"/>
    <w:rsid w:val="1891756D"/>
    <w:rsid w:val="18A53CA7"/>
    <w:rsid w:val="18B74DA0"/>
    <w:rsid w:val="18C13529"/>
    <w:rsid w:val="18C474BD"/>
    <w:rsid w:val="18CC004D"/>
    <w:rsid w:val="18D86AC4"/>
    <w:rsid w:val="18E86D07"/>
    <w:rsid w:val="18EE59BE"/>
    <w:rsid w:val="18F27B86"/>
    <w:rsid w:val="18F30CF3"/>
    <w:rsid w:val="18F558C8"/>
    <w:rsid w:val="1902223E"/>
    <w:rsid w:val="190E3595"/>
    <w:rsid w:val="19106403"/>
    <w:rsid w:val="19111F2B"/>
    <w:rsid w:val="191316D9"/>
    <w:rsid w:val="19224D06"/>
    <w:rsid w:val="192B12EA"/>
    <w:rsid w:val="19337554"/>
    <w:rsid w:val="19353F17"/>
    <w:rsid w:val="193C52A5"/>
    <w:rsid w:val="193C6B05"/>
    <w:rsid w:val="194745C3"/>
    <w:rsid w:val="194755AF"/>
    <w:rsid w:val="194D3671"/>
    <w:rsid w:val="19570989"/>
    <w:rsid w:val="19603F1C"/>
    <w:rsid w:val="19762565"/>
    <w:rsid w:val="198A4A06"/>
    <w:rsid w:val="198A7DBF"/>
    <w:rsid w:val="198D54DC"/>
    <w:rsid w:val="19956E81"/>
    <w:rsid w:val="19971CFA"/>
    <w:rsid w:val="19A03A86"/>
    <w:rsid w:val="19A1335A"/>
    <w:rsid w:val="19B72140"/>
    <w:rsid w:val="19CF01B9"/>
    <w:rsid w:val="19D81657"/>
    <w:rsid w:val="19DB4ABE"/>
    <w:rsid w:val="19E17FAF"/>
    <w:rsid w:val="19E25383"/>
    <w:rsid w:val="19EA4D01"/>
    <w:rsid w:val="19EC4A9D"/>
    <w:rsid w:val="19EF40C6"/>
    <w:rsid w:val="19F4353C"/>
    <w:rsid w:val="19F94F44"/>
    <w:rsid w:val="1A037B71"/>
    <w:rsid w:val="1A0A5CCD"/>
    <w:rsid w:val="1A2A56C6"/>
    <w:rsid w:val="1A384CA7"/>
    <w:rsid w:val="1A397F4A"/>
    <w:rsid w:val="1A3C00E8"/>
    <w:rsid w:val="1A404921"/>
    <w:rsid w:val="1A567184"/>
    <w:rsid w:val="1A59631C"/>
    <w:rsid w:val="1A5A3C35"/>
    <w:rsid w:val="1A607EA5"/>
    <w:rsid w:val="1A617197"/>
    <w:rsid w:val="1A6B4094"/>
    <w:rsid w:val="1A6D5681"/>
    <w:rsid w:val="1A705206"/>
    <w:rsid w:val="1A725422"/>
    <w:rsid w:val="1A7542CE"/>
    <w:rsid w:val="1A840CB2"/>
    <w:rsid w:val="1A872550"/>
    <w:rsid w:val="1A89451A"/>
    <w:rsid w:val="1A9058A9"/>
    <w:rsid w:val="1AA72BF2"/>
    <w:rsid w:val="1ABC044C"/>
    <w:rsid w:val="1AC11F06"/>
    <w:rsid w:val="1ACB68E1"/>
    <w:rsid w:val="1ADB7494"/>
    <w:rsid w:val="1AF2684C"/>
    <w:rsid w:val="1B0911B7"/>
    <w:rsid w:val="1B0D0CA7"/>
    <w:rsid w:val="1B11421D"/>
    <w:rsid w:val="1B1C713C"/>
    <w:rsid w:val="1B304185"/>
    <w:rsid w:val="1B312EC8"/>
    <w:rsid w:val="1B351FAC"/>
    <w:rsid w:val="1B3B1CB8"/>
    <w:rsid w:val="1B4D5548"/>
    <w:rsid w:val="1B541017"/>
    <w:rsid w:val="1B5A48A6"/>
    <w:rsid w:val="1B601C8B"/>
    <w:rsid w:val="1B634D6B"/>
    <w:rsid w:val="1B677EE2"/>
    <w:rsid w:val="1B6C3998"/>
    <w:rsid w:val="1B746F78"/>
    <w:rsid w:val="1B833F1E"/>
    <w:rsid w:val="1B8B6070"/>
    <w:rsid w:val="1B9945ED"/>
    <w:rsid w:val="1BA748EF"/>
    <w:rsid w:val="1BA809D0"/>
    <w:rsid w:val="1BB05AD7"/>
    <w:rsid w:val="1BB9498B"/>
    <w:rsid w:val="1BC021BE"/>
    <w:rsid w:val="1BC16D39"/>
    <w:rsid w:val="1BCA4DEA"/>
    <w:rsid w:val="1BCC1C10"/>
    <w:rsid w:val="1BCF357A"/>
    <w:rsid w:val="1BD62BF6"/>
    <w:rsid w:val="1BE340FE"/>
    <w:rsid w:val="1BE8010C"/>
    <w:rsid w:val="1BEA3F01"/>
    <w:rsid w:val="1BEC002C"/>
    <w:rsid w:val="1BF72948"/>
    <w:rsid w:val="1C0B6CC5"/>
    <w:rsid w:val="1C110B76"/>
    <w:rsid w:val="1C1661DF"/>
    <w:rsid w:val="1C1922DD"/>
    <w:rsid w:val="1C223D94"/>
    <w:rsid w:val="1C2C7920"/>
    <w:rsid w:val="1C2F10F1"/>
    <w:rsid w:val="1C452BAD"/>
    <w:rsid w:val="1C597F1C"/>
    <w:rsid w:val="1C5B4D89"/>
    <w:rsid w:val="1C5C16F0"/>
    <w:rsid w:val="1C6778F5"/>
    <w:rsid w:val="1C6D32FB"/>
    <w:rsid w:val="1C784846"/>
    <w:rsid w:val="1C7F3E27"/>
    <w:rsid w:val="1C7F7211"/>
    <w:rsid w:val="1C874A89"/>
    <w:rsid w:val="1C8A20C5"/>
    <w:rsid w:val="1C8E7BC6"/>
    <w:rsid w:val="1CA078F9"/>
    <w:rsid w:val="1CBC0BD7"/>
    <w:rsid w:val="1CC23C9D"/>
    <w:rsid w:val="1CC2721E"/>
    <w:rsid w:val="1CC27CF4"/>
    <w:rsid w:val="1CCD4D9D"/>
    <w:rsid w:val="1CDF0421"/>
    <w:rsid w:val="1CE819CC"/>
    <w:rsid w:val="1CE81F28"/>
    <w:rsid w:val="1CEA60B8"/>
    <w:rsid w:val="1CF3211F"/>
    <w:rsid w:val="1CF87735"/>
    <w:rsid w:val="1CF87F42"/>
    <w:rsid w:val="1CFA4AB5"/>
    <w:rsid w:val="1D04257E"/>
    <w:rsid w:val="1D047E88"/>
    <w:rsid w:val="1D100E1A"/>
    <w:rsid w:val="1D1A58FD"/>
    <w:rsid w:val="1D1B6E43"/>
    <w:rsid w:val="1D214EDE"/>
    <w:rsid w:val="1D28229B"/>
    <w:rsid w:val="1D2B18B9"/>
    <w:rsid w:val="1D2D73DF"/>
    <w:rsid w:val="1D373F6B"/>
    <w:rsid w:val="1D3A5FA0"/>
    <w:rsid w:val="1D3E7B2A"/>
    <w:rsid w:val="1D443D4D"/>
    <w:rsid w:val="1D50131F"/>
    <w:rsid w:val="1D582F74"/>
    <w:rsid w:val="1D5D4C54"/>
    <w:rsid w:val="1D641DFB"/>
    <w:rsid w:val="1D6F3E9B"/>
    <w:rsid w:val="1DA8115B"/>
    <w:rsid w:val="1DB95116"/>
    <w:rsid w:val="1DBD03D3"/>
    <w:rsid w:val="1DBD68B8"/>
    <w:rsid w:val="1DBF516D"/>
    <w:rsid w:val="1DC37D43"/>
    <w:rsid w:val="1DCF0496"/>
    <w:rsid w:val="1DCF322F"/>
    <w:rsid w:val="1DE224D6"/>
    <w:rsid w:val="1DE437EA"/>
    <w:rsid w:val="1DE57CB9"/>
    <w:rsid w:val="1DEA3522"/>
    <w:rsid w:val="1DF11517"/>
    <w:rsid w:val="1DF148B0"/>
    <w:rsid w:val="1DF24184"/>
    <w:rsid w:val="1DF36753"/>
    <w:rsid w:val="1E064989"/>
    <w:rsid w:val="1E081BFA"/>
    <w:rsid w:val="1E0A3BC4"/>
    <w:rsid w:val="1E0C0977"/>
    <w:rsid w:val="1E0C793C"/>
    <w:rsid w:val="1E116D00"/>
    <w:rsid w:val="1E14059F"/>
    <w:rsid w:val="1E1E35BE"/>
    <w:rsid w:val="1E223897"/>
    <w:rsid w:val="1E234C86"/>
    <w:rsid w:val="1E2A2254"/>
    <w:rsid w:val="1E2E38EF"/>
    <w:rsid w:val="1E3824DF"/>
    <w:rsid w:val="1E427B8F"/>
    <w:rsid w:val="1E432C32"/>
    <w:rsid w:val="1E5310C7"/>
    <w:rsid w:val="1E5913E2"/>
    <w:rsid w:val="1E5D0198"/>
    <w:rsid w:val="1E611285"/>
    <w:rsid w:val="1E6432D4"/>
    <w:rsid w:val="1E6D7CAF"/>
    <w:rsid w:val="1E71154D"/>
    <w:rsid w:val="1E7206F0"/>
    <w:rsid w:val="1E734D0E"/>
    <w:rsid w:val="1E7463A5"/>
    <w:rsid w:val="1E754E84"/>
    <w:rsid w:val="1E866A5D"/>
    <w:rsid w:val="1E890F8D"/>
    <w:rsid w:val="1E8C45D9"/>
    <w:rsid w:val="1E967206"/>
    <w:rsid w:val="1EA11BFC"/>
    <w:rsid w:val="1EA57FE6"/>
    <w:rsid w:val="1EAD1969"/>
    <w:rsid w:val="1EB15493"/>
    <w:rsid w:val="1EBF779B"/>
    <w:rsid w:val="1EC05FDE"/>
    <w:rsid w:val="1ECA4B60"/>
    <w:rsid w:val="1ED6116B"/>
    <w:rsid w:val="1ED65854"/>
    <w:rsid w:val="1ED76F10"/>
    <w:rsid w:val="1EDA4C24"/>
    <w:rsid w:val="1EE204C7"/>
    <w:rsid w:val="1EFA59E6"/>
    <w:rsid w:val="1EFA6711"/>
    <w:rsid w:val="1F113344"/>
    <w:rsid w:val="1F122D30"/>
    <w:rsid w:val="1F170346"/>
    <w:rsid w:val="1F1862E0"/>
    <w:rsid w:val="1F1A1BE5"/>
    <w:rsid w:val="1F2C573A"/>
    <w:rsid w:val="1F3A4035"/>
    <w:rsid w:val="1F3E1223"/>
    <w:rsid w:val="1F4275B2"/>
    <w:rsid w:val="1F446C62"/>
    <w:rsid w:val="1F51312D"/>
    <w:rsid w:val="1F5A0233"/>
    <w:rsid w:val="1F5F3A9B"/>
    <w:rsid w:val="1F645556"/>
    <w:rsid w:val="1F66307C"/>
    <w:rsid w:val="1F796FEE"/>
    <w:rsid w:val="1F7D0CD8"/>
    <w:rsid w:val="1F8B2AE2"/>
    <w:rsid w:val="1F8C01F1"/>
    <w:rsid w:val="1F8E5CC7"/>
    <w:rsid w:val="1F923E71"/>
    <w:rsid w:val="1F9C6A9E"/>
    <w:rsid w:val="1FA76212"/>
    <w:rsid w:val="1FAF4A23"/>
    <w:rsid w:val="1FB74DC5"/>
    <w:rsid w:val="1FDC333E"/>
    <w:rsid w:val="1FEB532F"/>
    <w:rsid w:val="1FEF7D24"/>
    <w:rsid w:val="1FF13C5E"/>
    <w:rsid w:val="1FF42436"/>
    <w:rsid w:val="1FF861EE"/>
    <w:rsid w:val="20087C8F"/>
    <w:rsid w:val="20156898"/>
    <w:rsid w:val="20300000"/>
    <w:rsid w:val="203B2C18"/>
    <w:rsid w:val="203B4570"/>
    <w:rsid w:val="203F473B"/>
    <w:rsid w:val="204038CD"/>
    <w:rsid w:val="20444993"/>
    <w:rsid w:val="204C5258"/>
    <w:rsid w:val="204F7B3B"/>
    <w:rsid w:val="20500C86"/>
    <w:rsid w:val="205B38FB"/>
    <w:rsid w:val="205B3F14"/>
    <w:rsid w:val="20603148"/>
    <w:rsid w:val="20623843"/>
    <w:rsid w:val="20683706"/>
    <w:rsid w:val="206C5D8A"/>
    <w:rsid w:val="207D067D"/>
    <w:rsid w:val="208B294A"/>
    <w:rsid w:val="209E28CD"/>
    <w:rsid w:val="20A37086"/>
    <w:rsid w:val="20B111EC"/>
    <w:rsid w:val="20B3409F"/>
    <w:rsid w:val="20B6593D"/>
    <w:rsid w:val="20B90BC0"/>
    <w:rsid w:val="20C444FE"/>
    <w:rsid w:val="20C53F7D"/>
    <w:rsid w:val="20CC5161"/>
    <w:rsid w:val="20D66D3A"/>
    <w:rsid w:val="20E05C68"/>
    <w:rsid w:val="20E06E5E"/>
    <w:rsid w:val="20E26732"/>
    <w:rsid w:val="20E2752B"/>
    <w:rsid w:val="20EA1414"/>
    <w:rsid w:val="20EC1E85"/>
    <w:rsid w:val="20EF3411"/>
    <w:rsid w:val="210A418C"/>
    <w:rsid w:val="210B3EDB"/>
    <w:rsid w:val="210D5307"/>
    <w:rsid w:val="21134B3E"/>
    <w:rsid w:val="211F1734"/>
    <w:rsid w:val="213535F3"/>
    <w:rsid w:val="213B4094"/>
    <w:rsid w:val="21547B5A"/>
    <w:rsid w:val="215846DC"/>
    <w:rsid w:val="216058A9"/>
    <w:rsid w:val="21676523"/>
    <w:rsid w:val="216929AF"/>
    <w:rsid w:val="216C24A0"/>
    <w:rsid w:val="21703D3E"/>
    <w:rsid w:val="21737F3B"/>
    <w:rsid w:val="21791883"/>
    <w:rsid w:val="217A7FE3"/>
    <w:rsid w:val="218E68BA"/>
    <w:rsid w:val="21A165ED"/>
    <w:rsid w:val="21A97250"/>
    <w:rsid w:val="21BF16DB"/>
    <w:rsid w:val="21C422DC"/>
    <w:rsid w:val="21CB71C6"/>
    <w:rsid w:val="21D00C81"/>
    <w:rsid w:val="21D240A5"/>
    <w:rsid w:val="21D40771"/>
    <w:rsid w:val="21D544E9"/>
    <w:rsid w:val="21D86F29"/>
    <w:rsid w:val="21E12E8E"/>
    <w:rsid w:val="21E735F7"/>
    <w:rsid w:val="21ED1832"/>
    <w:rsid w:val="21ED35E0"/>
    <w:rsid w:val="21EF6CA6"/>
    <w:rsid w:val="21EF7359"/>
    <w:rsid w:val="21F04E7F"/>
    <w:rsid w:val="220B2BC0"/>
    <w:rsid w:val="22121299"/>
    <w:rsid w:val="221E5A4F"/>
    <w:rsid w:val="2221328A"/>
    <w:rsid w:val="22266E5B"/>
    <w:rsid w:val="22286D9D"/>
    <w:rsid w:val="223D604C"/>
    <w:rsid w:val="22475933"/>
    <w:rsid w:val="22525B39"/>
    <w:rsid w:val="22544B54"/>
    <w:rsid w:val="225620E5"/>
    <w:rsid w:val="225A0C09"/>
    <w:rsid w:val="226135DF"/>
    <w:rsid w:val="226514FC"/>
    <w:rsid w:val="226A0558"/>
    <w:rsid w:val="226F2247"/>
    <w:rsid w:val="22723AE6"/>
    <w:rsid w:val="227B0BEC"/>
    <w:rsid w:val="227B299A"/>
    <w:rsid w:val="227B31EC"/>
    <w:rsid w:val="22827140"/>
    <w:rsid w:val="2288155B"/>
    <w:rsid w:val="22AA14D2"/>
    <w:rsid w:val="22AC6FF8"/>
    <w:rsid w:val="22C36322"/>
    <w:rsid w:val="22D36C7A"/>
    <w:rsid w:val="22DA1DB7"/>
    <w:rsid w:val="22E42C35"/>
    <w:rsid w:val="22E64245"/>
    <w:rsid w:val="22EF17EC"/>
    <w:rsid w:val="22F567AD"/>
    <w:rsid w:val="22FD7853"/>
    <w:rsid w:val="23007E1A"/>
    <w:rsid w:val="23070045"/>
    <w:rsid w:val="23111DAB"/>
    <w:rsid w:val="231352C9"/>
    <w:rsid w:val="23151041"/>
    <w:rsid w:val="232B2612"/>
    <w:rsid w:val="232C4DF5"/>
    <w:rsid w:val="233F4F0E"/>
    <w:rsid w:val="23490CEA"/>
    <w:rsid w:val="235558E1"/>
    <w:rsid w:val="235A2EF8"/>
    <w:rsid w:val="235F22BC"/>
    <w:rsid w:val="235F7526"/>
    <w:rsid w:val="236C2E3A"/>
    <w:rsid w:val="236C6787"/>
    <w:rsid w:val="237648E2"/>
    <w:rsid w:val="237815D0"/>
    <w:rsid w:val="238070C2"/>
    <w:rsid w:val="238241FC"/>
    <w:rsid w:val="2387492A"/>
    <w:rsid w:val="238773C3"/>
    <w:rsid w:val="23983A20"/>
    <w:rsid w:val="239C52BE"/>
    <w:rsid w:val="239E21FE"/>
    <w:rsid w:val="23A203FB"/>
    <w:rsid w:val="23AD74CB"/>
    <w:rsid w:val="23B00DAE"/>
    <w:rsid w:val="23BF0959"/>
    <w:rsid w:val="23D22A8E"/>
    <w:rsid w:val="23D26F32"/>
    <w:rsid w:val="23D9206E"/>
    <w:rsid w:val="23E66539"/>
    <w:rsid w:val="241629E9"/>
    <w:rsid w:val="24174945"/>
    <w:rsid w:val="241F1A4B"/>
    <w:rsid w:val="242157C3"/>
    <w:rsid w:val="242552B4"/>
    <w:rsid w:val="243A706F"/>
    <w:rsid w:val="24466588"/>
    <w:rsid w:val="244A6AC8"/>
    <w:rsid w:val="244F3473"/>
    <w:rsid w:val="24594F5D"/>
    <w:rsid w:val="24681644"/>
    <w:rsid w:val="2469798E"/>
    <w:rsid w:val="24765B0F"/>
    <w:rsid w:val="247A4DBB"/>
    <w:rsid w:val="24877D1C"/>
    <w:rsid w:val="249064A5"/>
    <w:rsid w:val="249A1DD6"/>
    <w:rsid w:val="249B687B"/>
    <w:rsid w:val="24A112E7"/>
    <w:rsid w:val="24A85EE5"/>
    <w:rsid w:val="24AD24EC"/>
    <w:rsid w:val="24B30B11"/>
    <w:rsid w:val="24B86128"/>
    <w:rsid w:val="24BC0CFB"/>
    <w:rsid w:val="24BC3B36"/>
    <w:rsid w:val="24C02053"/>
    <w:rsid w:val="24C3687B"/>
    <w:rsid w:val="24C70119"/>
    <w:rsid w:val="24D32F62"/>
    <w:rsid w:val="24E707BB"/>
    <w:rsid w:val="24ED38F7"/>
    <w:rsid w:val="24F050AA"/>
    <w:rsid w:val="24F26AD5"/>
    <w:rsid w:val="24F42ED8"/>
    <w:rsid w:val="24F53381"/>
    <w:rsid w:val="25091A19"/>
    <w:rsid w:val="250A6257"/>
    <w:rsid w:val="250C1FD0"/>
    <w:rsid w:val="251133A4"/>
    <w:rsid w:val="25302162"/>
    <w:rsid w:val="2535691E"/>
    <w:rsid w:val="25382DC5"/>
    <w:rsid w:val="25425B1A"/>
    <w:rsid w:val="254521FD"/>
    <w:rsid w:val="254C4AC2"/>
    <w:rsid w:val="25612039"/>
    <w:rsid w:val="256F6284"/>
    <w:rsid w:val="25743A75"/>
    <w:rsid w:val="257F09F3"/>
    <w:rsid w:val="25965263"/>
    <w:rsid w:val="25982389"/>
    <w:rsid w:val="259C02C6"/>
    <w:rsid w:val="259D60EE"/>
    <w:rsid w:val="25B20195"/>
    <w:rsid w:val="25B23D80"/>
    <w:rsid w:val="25B368EF"/>
    <w:rsid w:val="25BD776E"/>
    <w:rsid w:val="25D80104"/>
    <w:rsid w:val="25DC5E46"/>
    <w:rsid w:val="25E944FE"/>
    <w:rsid w:val="25EB6089"/>
    <w:rsid w:val="25EB6917"/>
    <w:rsid w:val="25EF429E"/>
    <w:rsid w:val="25F65005"/>
    <w:rsid w:val="2600779A"/>
    <w:rsid w:val="2603299F"/>
    <w:rsid w:val="2605498B"/>
    <w:rsid w:val="260C6EBE"/>
    <w:rsid w:val="260D0749"/>
    <w:rsid w:val="260D5FFF"/>
    <w:rsid w:val="260E3B25"/>
    <w:rsid w:val="261C26E6"/>
    <w:rsid w:val="261E020C"/>
    <w:rsid w:val="26415CA9"/>
    <w:rsid w:val="264D6D44"/>
    <w:rsid w:val="26541E80"/>
    <w:rsid w:val="26565004"/>
    <w:rsid w:val="265D41FA"/>
    <w:rsid w:val="265D72C1"/>
    <w:rsid w:val="265E1035"/>
    <w:rsid w:val="265E2CFF"/>
    <w:rsid w:val="265E47C6"/>
    <w:rsid w:val="26630315"/>
    <w:rsid w:val="266A419A"/>
    <w:rsid w:val="26783D91"/>
    <w:rsid w:val="267E514F"/>
    <w:rsid w:val="2685748B"/>
    <w:rsid w:val="268838D8"/>
    <w:rsid w:val="269639E3"/>
    <w:rsid w:val="26A06E73"/>
    <w:rsid w:val="26AA3689"/>
    <w:rsid w:val="26AF355A"/>
    <w:rsid w:val="26B17987"/>
    <w:rsid w:val="26C21E93"/>
    <w:rsid w:val="26C532DA"/>
    <w:rsid w:val="26CC5EBA"/>
    <w:rsid w:val="26CD1C32"/>
    <w:rsid w:val="26D61434"/>
    <w:rsid w:val="26D70190"/>
    <w:rsid w:val="26D93B30"/>
    <w:rsid w:val="26DE7C03"/>
    <w:rsid w:val="26FB09EB"/>
    <w:rsid w:val="27076EF2"/>
    <w:rsid w:val="27086875"/>
    <w:rsid w:val="271B0ABD"/>
    <w:rsid w:val="271E3937"/>
    <w:rsid w:val="272051A9"/>
    <w:rsid w:val="272C0707"/>
    <w:rsid w:val="272D447F"/>
    <w:rsid w:val="273373D7"/>
    <w:rsid w:val="27441EF5"/>
    <w:rsid w:val="275027EC"/>
    <w:rsid w:val="275131CB"/>
    <w:rsid w:val="27595274"/>
    <w:rsid w:val="275F7E97"/>
    <w:rsid w:val="276424A9"/>
    <w:rsid w:val="276B5AC8"/>
    <w:rsid w:val="276F6846"/>
    <w:rsid w:val="277D0F63"/>
    <w:rsid w:val="277F0920"/>
    <w:rsid w:val="277F2F2D"/>
    <w:rsid w:val="27942EFF"/>
    <w:rsid w:val="27960F20"/>
    <w:rsid w:val="27A26A64"/>
    <w:rsid w:val="27AA5AD0"/>
    <w:rsid w:val="27C12FAA"/>
    <w:rsid w:val="27C139EE"/>
    <w:rsid w:val="27D23622"/>
    <w:rsid w:val="27D27E5D"/>
    <w:rsid w:val="27D34989"/>
    <w:rsid w:val="27F84A8D"/>
    <w:rsid w:val="27FA52F3"/>
    <w:rsid w:val="28041684"/>
    <w:rsid w:val="28073DAF"/>
    <w:rsid w:val="280851F7"/>
    <w:rsid w:val="28111290"/>
    <w:rsid w:val="28117600"/>
    <w:rsid w:val="281333B9"/>
    <w:rsid w:val="281713B7"/>
    <w:rsid w:val="281F4D65"/>
    <w:rsid w:val="28335AC5"/>
    <w:rsid w:val="28355CE1"/>
    <w:rsid w:val="28374CA0"/>
    <w:rsid w:val="28405F8B"/>
    <w:rsid w:val="28480D9A"/>
    <w:rsid w:val="284E33D6"/>
    <w:rsid w:val="285048C9"/>
    <w:rsid w:val="28553C8E"/>
    <w:rsid w:val="28613844"/>
    <w:rsid w:val="28637FE7"/>
    <w:rsid w:val="287F20C3"/>
    <w:rsid w:val="288808D3"/>
    <w:rsid w:val="28884063"/>
    <w:rsid w:val="288D60AB"/>
    <w:rsid w:val="28904CC6"/>
    <w:rsid w:val="289114A5"/>
    <w:rsid w:val="28976054"/>
    <w:rsid w:val="28B409B4"/>
    <w:rsid w:val="28BE5CD7"/>
    <w:rsid w:val="28C34FD4"/>
    <w:rsid w:val="28C46204"/>
    <w:rsid w:val="28CF2010"/>
    <w:rsid w:val="28D3353C"/>
    <w:rsid w:val="28D9041B"/>
    <w:rsid w:val="28E01190"/>
    <w:rsid w:val="28E82B9B"/>
    <w:rsid w:val="28F17E5A"/>
    <w:rsid w:val="28FA28B0"/>
    <w:rsid w:val="28FE2577"/>
    <w:rsid w:val="292058A1"/>
    <w:rsid w:val="292F2731"/>
    <w:rsid w:val="293145B7"/>
    <w:rsid w:val="294033B8"/>
    <w:rsid w:val="29417CF3"/>
    <w:rsid w:val="294361DC"/>
    <w:rsid w:val="294A756A"/>
    <w:rsid w:val="294C08EC"/>
    <w:rsid w:val="294C6E3F"/>
    <w:rsid w:val="294D2BB7"/>
    <w:rsid w:val="2955247F"/>
    <w:rsid w:val="295F30EF"/>
    <w:rsid w:val="297D16EE"/>
    <w:rsid w:val="298760C9"/>
    <w:rsid w:val="298A7967"/>
    <w:rsid w:val="298B4A70"/>
    <w:rsid w:val="298C7F61"/>
    <w:rsid w:val="2996630C"/>
    <w:rsid w:val="299D595A"/>
    <w:rsid w:val="29A05EB5"/>
    <w:rsid w:val="29B67511"/>
    <w:rsid w:val="29B82726"/>
    <w:rsid w:val="29C10798"/>
    <w:rsid w:val="29C9692E"/>
    <w:rsid w:val="29CE019B"/>
    <w:rsid w:val="29D15596"/>
    <w:rsid w:val="29E30975"/>
    <w:rsid w:val="29EA7A26"/>
    <w:rsid w:val="29F714A0"/>
    <w:rsid w:val="29FA2D3E"/>
    <w:rsid w:val="29FF2103"/>
    <w:rsid w:val="2A07686E"/>
    <w:rsid w:val="2A0E67EA"/>
    <w:rsid w:val="2A16744D"/>
    <w:rsid w:val="2A1E196F"/>
    <w:rsid w:val="2A223E41"/>
    <w:rsid w:val="2A2B114A"/>
    <w:rsid w:val="2A2B59AC"/>
    <w:rsid w:val="2A335F7C"/>
    <w:rsid w:val="2A342766"/>
    <w:rsid w:val="2A3A75DF"/>
    <w:rsid w:val="2A4A387D"/>
    <w:rsid w:val="2A4B359A"/>
    <w:rsid w:val="2A4D7312"/>
    <w:rsid w:val="2A4F40F8"/>
    <w:rsid w:val="2A5C071E"/>
    <w:rsid w:val="2A5F43D5"/>
    <w:rsid w:val="2A612DBE"/>
    <w:rsid w:val="2A64640A"/>
    <w:rsid w:val="2A6D0865"/>
    <w:rsid w:val="2A7D06E4"/>
    <w:rsid w:val="2A830F86"/>
    <w:rsid w:val="2AA35184"/>
    <w:rsid w:val="2AA65774"/>
    <w:rsid w:val="2AAB5DE7"/>
    <w:rsid w:val="2AB033FD"/>
    <w:rsid w:val="2ABA5B52"/>
    <w:rsid w:val="2ABE585D"/>
    <w:rsid w:val="2AC72956"/>
    <w:rsid w:val="2ACF1933"/>
    <w:rsid w:val="2AD871EF"/>
    <w:rsid w:val="2B026D53"/>
    <w:rsid w:val="2B141BDE"/>
    <w:rsid w:val="2B202CBD"/>
    <w:rsid w:val="2B22031C"/>
    <w:rsid w:val="2B27005C"/>
    <w:rsid w:val="2B316DB9"/>
    <w:rsid w:val="2B400F64"/>
    <w:rsid w:val="2B4D3342"/>
    <w:rsid w:val="2B691DC8"/>
    <w:rsid w:val="2B715282"/>
    <w:rsid w:val="2B724B56"/>
    <w:rsid w:val="2B84499D"/>
    <w:rsid w:val="2B8C79C6"/>
    <w:rsid w:val="2B972B5A"/>
    <w:rsid w:val="2B98280F"/>
    <w:rsid w:val="2B996857"/>
    <w:rsid w:val="2B9A6BF0"/>
    <w:rsid w:val="2BA74800"/>
    <w:rsid w:val="2BB50374"/>
    <w:rsid w:val="2BB91AEE"/>
    <w:rsid w:val="2BC764A4"/>
    <w:rsid w:val="2BD515B4"/>
    <w:rsid w:val="2BEC2B5B"/>
    <w:rsid w:val="2BF11A56"/>
    <w:rsid w:val="2BF33EE9"/>
    <w:rsid w:val="2BF3422E"/>
    <w:rsid w:val="2C027C88"/>
    <w:rsid w:val="2C077995"/>
    <w:rsid w:val="2C0E2AD1"/>
    <w:rsid w:val="2C1F6A8C"/>
    <w:rsid w:val="2C2422F5"/>
    <w:rsid w:val="2C245E51"/>
    <w:rsid w:val="2C267E41"/>
    <w:rsid w:val="2C2C73FB"/>
    <w:rsid w:val="2C300CD1"/>
    <w:rsid w:val="2C3167C0"/>
    <w:rsid w:val="2C3C763E"/>
    <w:rsid w:val="2C416A03"/>
    <w:rsid w:val="2C430275"/>
    <w:rsid w:val="2C471B3F"/>
    <w:rsid w:val="2C4D5FD2"/>
    <w:rsid w:val="2C5D1363"/>
    <w:rsid w:val="2C626979"/>
    <w:rsid w:val="2C630D27"/>
    <w:rsid w:val="2C743C9A"/>
    <w:rsid w:val="2C7548FE"/>
    <w:rsid w:val="2C7A0167"/>
    <w:rsid w:val="2C7C5C8D"/>
    <w:rsid w:val="2C8814FC"/>
    <w:rsid w:val="2C931228"/>
    <w:rsid w:val="2CA26D5C"/>
    <w:rsid w:val="2CA46F92"/>
    <w:rsid w:val="2CA51914"/>
    <w:rsid w:val="2CA523A0"/>
    <w:rsid w:val="2CBB4D37"/>
    <w:rsid w:val="2CC4673F"/>
    <w:rsid w:val="2CDA17CE"/>
    <w:rsid w:val="2CDF621C"/>
    <w:rsid w:val="2CE55431"/>
    <w:rsid w:val="2CE61358"/>
    <w:rsid w:val="2CE755A4"/>
    <w:rsid w:val="2CF03F85"/>
    <w:rsid w:val="2CF717B7"/>
    <w:rsid w:val="2CFD0282"/>
    <w:rsid w:val="2CFF16E5"/>
    <w:rsid w:val="2D03015C"/>
    <w:rsid w:val="2D102879"/>
    <w:rsid w:val="2D19172E"/>
    <w:rsid w:val="2D1B74BE"/>
    <w:rsid w:val="2D2C76B3"/>
    <w:rsid w:val="2D2F2CFF"/>
    <w:rsid w:val="2D376058"/>
    <w:rsid w:val="2D3B5044"/>
    <w:rsid w:val="2D4C4C78"/>
    <w:rsid w:val="2D4C6366"/>
    <w:rsid w:val="2D507917"/>
    <w:rsid w:val="2D5E1ABB"/>
    <w:rsid w:val="2D5E7D5E"/>
    <w:rsid w:val="2D616C31"/>
    <w:rsid w:val="2D6A0964"/>
    <w:rsid w:val="2D746964"/>
    <w:rsid w:val="2D7A4D1E"/>
    <w:rsid w:val="2D930D3F"/>
    <w:rsid w:val="2D962D7E"/>
    <w:rsid w:val="2D994552"/>
    <w:rsid w:val="2DA07759"/>
    <w:rsid w:val="2DA134D1"/>
    <w:rsid w:val="2DB06761"/>
    <w:rsid w:val="2DB1292E"/>
    <w:rsid w:val="2DC72F38"/>
    <w:rsid w:val="2DC87A1A"/>
    <w:rsid w:val="2DCA3E24"/>
    <w:rsid w:val="2DE27212"/>
    <w:rsid w:val="2DE866F3"/>
    <w:rsid w:val="2DFB48F1"/>
    <w:rsid w:val="2E0330A0"/>
    <w:rsid w:val="2E0365FC"/>
    <w:rsid w:val="2E0435D7"/>
    <w:rsid w:val="2E073C7C"/>
    <w:rsid w:val="2E0979F4"/>
    <w:rsid w:val="2E0A1DB4"/>
    <w:rsid w:val="2E1A01B5"/>
    <w:rsid w:val="2E1A39AF"/>
    <w:rsid w:val="2E24482E"/>
    <w:rsid w:val="2E254102"/>
    <w:rsid w:val="2E344345"/>
    <w:rsid w:val="2E3D6585"/>
    <w:rsid w:val="2E4722CA"/>
    <w:rsid w:val="2E4B3B69"/>
    <w:rsid w:val="2E4B792E"/>
    <w:rsid w:val="2E5C169A"/>
    <w:rsid w:val="2E690493"/>
    <w:rsid w:val="2E6E3D4C"/>
    <w:rsid w:val="2E765C06"/>
    <w:rsid w:val="2E7A444E"/>
    <w:rsid w:val="2E7E1D2F"/>
    <w:rsid w:val="2E8E1CA7"/>
    <w:rsid w:val="2E9632B0"/>
    <w:rsid w:val="2E9C2616"/>
    <w:rsid w:val="2EA57459"/>
    <w:rsid w:val="2EBD433B"/>
    <w:rsid w:val="2EC24D6D"/>
    <w:rsid w:val="2ECB5AA6"/>
    <w:rsid w:val="2ED31CDF"/>
    <w:rsid w:val="2ED81174"/>
    <w:rsid w:val="2EE67D35"/>
    <w:rsid w:val="2EE713B8"/>
    <w:rsid w:val="2EE8585B"/>
    <w:rsid w:val="2EFE03E6"/>
    <w:rsid w:val="2F0116F1"/>
    <w:rsid w:val="2F0D6CA4"/>
    <w:rsid w:val="2F1D0548"/>
    <w:rsid w:val="2F2E6FE6"/>
    <w:rsid w:val="2F3A3B86"/>
    <w:rsid w:val="2F436F36"/>
    <w:rsid w:val="2F494D9F"/>
    <w:rsid w:val="2F4D3614"/>
    <w:rsid w:val="2F5838AD"/>
    <w:rsid w:val="2F690A1F"/>
    <w:rsid w:val="2F7130CB"/>
    <w:rsid w:val="2F7B222C"/>
    <w:rsid w:val="2F812CDF"/>
    <w:rsid w:val="2F8B4222"/>
    <w:rsid w:val="2F8D465F"/>
    <w:rsid w:val="2F8E795C"/>
    <w:rsid w:val="2F94153F"/>
    <w:rsid w:val="2F9540B8"/>
    <w:rsid w:val="2FB4573E"/>
    <w:rsid w:val="2FB50A1F"/>
    <w:rsid w:val="2FBC47FC"/>
    <w:rsid w:val="2FD8767E"/>
    <w:rsid w:val="2FDB53C0"/>
    <w:rsid w:val="2FED1107"/>
    <w:rsid w:val="2FEE50F3"/>
    <w:rsid w:val="2FF10740"/>
    <w:rsid w:val="301601A6"/>
    <w:rsid w:val="30257161"/>
    <w:rsid w:val="303B4CED"/>
    <w:rsid w:val="30431894"/>
    <w:rsid w:val="305D2063"/>
    <w:rsid w:val="30637A5C"/>
    <w:rsid w:val="30742179"/>
    <w:rsid w:val="30790154"/>
    <w:rsid w:val="307F6203"/>
    <w:rsid w:val="30907893"/>
    <w:rsid w:val="30963095"/>
    <w:rsid w:val="309B540B"/>
    <w:rsid w:val="30A400C6"/>
    <w:rsid w:val="30A45FC2"/>
    <w:rsid w:val="30B579BF"/>
    <w:rsid w:val="30B61EC2"/>
    <w:rsid w:val="30BA700A"/>
    <w:rsid w:val="30BD6874"/>
    <w:rsid w:val="30BD7EB5"/>
    <w:rsid w:val="30C904F0"/>
    <w:rsid w:val="30C9346B"/>
    <w:rsid w:val="30CD0881"/>
    <w:rsid w:val="30DA6DDC"/>
    <w:rsid w:val="30DC13F0"/>
    <w:rsid w:val="30DD1CB2"/>
    <w:rsid w:val="30DD6F16"/>
    <w:rsid w:val="310062EF"/>
    <w:rsid w:val="310C5E46"/>
    <w:rsid w:val="3112096E"/>
    <w:rsid w:val="312C0DC8"/>
    <w:rsid w:val="31316421"/>
    <w:rsid w:val="313B43E4"/>
    <w:rsid w:val="3143321D"/>
    <w:rsid w:val="31470EF5"/>
    <w:rsid w:val="314825E1"/>
    <w:rsid w:val="3150593A"/>
    <w:rsid w:val="31576CC8"/>
    <w:rsid w:val="315D7739"/>
    <w:rsid w:val="317E51FD"/>
    <w:rsid w:val="319B6864"/>
    <w:rsid w:val="319E7876"/>
    <w:rsid w:val="31A356C0"/>
    <w:rsid w:val="31A35A6A"/>
    <w:rsid w:val="31A67308"/>
    <w:rsid w:val="31AF2660"/>
    <w:rsid w:val="31B207CE"/>
    <w:rsid w:val="31B57BF0"/>
    <w:rsid w:val="31B646F4"/>
    <w:rsid w:val="31C003CA"/>
    <w:rsid w:val="31C0661C"/>
    <w:rsid w:val="31CA1248"/>
    <w:rsid w:val="31CE1D46"/>
    <w:rsid w:val="31CE554C"/>
    <w:rsid w:val="31EA3699"/>
    <w:rsid w:val="31EB053D"/>
    <w:rsid w:val="31EB11BF"/>
    <w:rsid w:val="31EE01FB"/>
    <w:rsid w:val="31FF4ECA"/>
    <w:rsid w:val="320209E2"/>
    <w:rsid w:val="32085AE3"/>
    <w:rsid w:val="32176410"/>
    <w:rsid w:val="32292FE3"/>
    <w:rsid w:val="322E1B88"/>
    <w:rsid w:val="3239017C"/>
    <w:rsid w:val="32427031"/>
    <w:rsid w:val="324B42A4"/>
    <w:rsid w:val="324B48B5"/>
    <w:rsid w:val="32543208"/>
    <w:rsid w:val="325B4596"/>
    <w:rsid w:val="327535D1"/>
    <w:rsid w:val="3277608A"/>
    <w:rsid w:val="327A2C6E"/>
    <w:rsid w:val="328A6C2A"/>
    <w:rsid w:val="32931F82"/>
    <w:rsid w:val="329655CE"/>
    <w:rsid w:val="32A86673"/>
    <w:rsid w:val="32AC4DF2"/>
    <w:rsid w:val="32B51EF8"/>
    <w:rsid w:val="32B83797"/>
    <w:rsid w:val="32BD6959"/>
    <w:rsid w:val="32C75788"/>
    <w:rsid w:val="32C95AC3"/>
    <w:rsid w:val="32E30815"/>
    <w:rsid w:val="32E60304"/>
    <w:rsid w:val="32E92929"/>
    <w:rsid w:val="32E954BC"/>
    <w:rsid w:val="32EC28E3"/>
    <w:rsid w:val="32EE71B8"/>
    <w:rsid w:val="32F52BCB"/>
    <w:rsid w:val="32FC7B27"/>
    <w:rsid w:val="3306446B"/>
    <w:rsid w:val="330F0AE8"/>
    <w:rsid w:val="331031C0"/>
    <w:rsid w:val="33184235"/>
    <w:rsid w:val="33204B4A"/>
    <w:rsid w:val="332B4E33"/>
    <w:rsid w:val="333554DB"/>
    <w:rsid w:val="33415B8B"/>
    <w:rsid w:val="33423060"/>
    <w:rsid w:val="33466FF4"/>
    <w:rsid w:val="33480F8C"/>
    <w:rsid w:val="3365442D"/>
    <w:rsid w:val="33656D4A"/>
    <w:rsid w:val="33681EDB"/>
    <w:rsid w:val="336F6BC3"/>
    <w:rsid w:val="337112AE"/>
    <w:rsid w:val="33896EE1"/>
    <w:rsid w:val="339963F3"/>
    <w:rsid w:val="33A53363"/>
    <w:rsid w:val="33AD2BD0"/>
    <w:rsid w:val="33B26438"/>
    <w:rsid w:val="33C06DA7"/>
    <w:rsid w:val="33C57F19"/>
    <w:rsid w:val="33CD3013"/>
    <w:rsid w:val="33CF6FEA"/>
    <w:rsid w:val="33D360B5"/>
    <w:rsid w:val="33D441FC"/>
    <w:rsid w:val="33D60378"/>
    <w:rsid w:val="33D62126"/>
    <w:rsid w:val="33E52369"/>
    <w:rsid w:val="33EF143A"/>
    <w:rsid w:val="33EF4F96"/>
    <w:rsid w:val="33F425AD"/>
    <w:rsid w:val="33FC5905"/>
    <w:rsid w:val="33FE78CF"/>
    <w:rsid w:val="34050C5E"/>
    <w:rsid w:val="34076784"/>
    <w:rsid w:val="340E1B6C"/>
    <w:rsid w:val="340F388A"/>
    <w:rsid w:val="34157BB8"/>
    <w:rsid w:val="34202668"/>
    <w:rsid w:val="342635C9"/>
    <w:rsid w:val="34271D4F"/>
    <w:rsid w:val="342804A8"/>
    <w:rsid w:val="34301196"/>
    <w:rsid w:val="343167E6"/>
    <w:rsid w:val="34372BC5"/>
    <w:rsid w:val="3447392B"/>
    <w:rsid w:val="344C5824"/>
    <w:rsid w:val="344F1ED9"/>
    <w:rsid w:val="344F280E"/>
    <w:rsid w:val="34620B61"/>
    <w:rsid w:val="346534AA"/>
    <w:rsid w:val="346F32CA"/>
    <w:rsid w:val="347507BC"/>
    <w:rsid w:val="347D07F4"/>
    <w:rsid w:val="34833D46"/>
    <w:rsid w:val="34861E2D"/>
    <w:rsid w:val="34873421"/>
    <w:rsid w:val="34874D6D"/>
    <w:rsid w:val="34927C03"/>
    <w:rsid w:val="34961C0F"/>
    <w:rsid w:val="34A264AC"/>
    <w:rsid w:val="34A35D81"/>
    <w:rsid w:val="34A9783B"/>
    <w:rsid w:val="34AC732B"/>
    <w:rsid w:val="34B61F58"/>
    <w:rsid w:val="34BC4238"/>
    <w:rsid w:val="34CA584A"/>
    <w:rsid w:val="34CE72A2"/>
    <w:rsid w:val="34D0675D"/>
    <w:rsid w:val="34D128EE"/>
    <w:rsid w:val="34E42621"/>
    <w:rsid w:val="34E87810"/>
    <w:rsid w:val="34F605A6"/>
    <w:rsid w:val="34FD7B87"/>
    <w:rsid w:val="35131158"/>
    <w:rsid w:val="35145978"/>
    <w:rsid w:val="35180639"/>
    <w:rsid w:val="353D61D5"/>
    <w:rsid w:val="353F5AA9"/>
    <w:rsid w:val="354237EC"/>
    <w:rsid w:val="3546508A"/>
    <w:rsid w:val="35531555"/>
    <w:rsid w:val="355552CD"/>
    <w:rsid w:val="35602EE0"/>
    <w:rsid w:val="3586624E"/>
    <w:rsid w:val="35870802"/>
    <w:rsid w:val="358A782C"/>
    <w:rsid w:val="358D4A67"/>
    <w:rsid w:val="359B6290"/>
    <w:rsid w:val="35A42E93"/>
    <w:rsid w:val="35A46A0F"/>
    <w:rsid w:val="35A8404B"/>
    <w:rsid w:val="35AB75E3"/>
    <w:rsid w:val="35B51DFA"/>
    <w:rsid w:val="35BC17F0"/>
    <w:rsid w:val="35BC22C3"/>
    <w:rsid w:val="35C072C4"/>
    <w:rsid w:val="35C3492C"/>
    <w:rsid w:val="35C6441D"/>
    <w:rsid w:val="35D04FA4"/>
    <w:rsid w:val="35D261F3"/>
    <w:rsid w:val="35D501BC"/>
    <w:rsid w:val="35D8418C"/>
    <w:rsid w:val="35D91D2E"/>
    <w:rsid w:val="35F42B0D"/>
    <w:rsid w:val="35F52AEB"/>
    <w:rsid w:val="35FE3BB6"/>
    <w:rsid w:val="3608233F"/>
    <w:rsid w:val="36100399"/>
    <w:rsid w:val="361278D4"/>
    <w:rsid w:val="361C228F"/>
    <w:rsid w:val="36221901"/>
    <w:rsid w:val="36296447"/>
    <w:rsid w:val="362A66F2"/>
    <w:rsid w:val="362C0724"/>
    <w:rsid w:val="363F12C5"/>
    <w:rsid w:val="36483084"/>
    <w:rsid w:val="364A6DFC"/>
    <w:rsid w:val="36544BAE"/>
    <w:rsid w:val="36625EF3"/>
    <w:rsid w:val="366C6D72"/>
    <w:rsid w:val="366D65E0"/>
    <w:rsid w:val="36807682"/>
    <w:rsid w:val="36857E34"/>
    <w:rsid w:val="368D1E91"/>
    <w:rsid w:val="36940077"/>
    <w:rsid w:val="369736C3"/>
    <w:rsid w:val="369A2790"/>
    <w:rsid w:val="36A54CBC"/>
    <w:rsid w:val="36AE22F7"/>
    <w:rsid w:val="36BB1FC6"/>
    <w:rsid w:val="36BE5AB8"/>
    <w:rsid w:val="36C10403"/>
    <w:rsid w:val="36C4143C"/>
    <w:rsid w:val="36C87A44"/>
    <w:rsid w:val="36D36DF1"/>
    <w:rsid w:val="36DF5466"/>
    <w:rsid w:val="36E16945"/>
    <w:rsid w:val="36E8480F"/>
    <w:rsid w:val="36ED2000"/>
    <w:rsid w:val="36F40202"/>
    <w:rsid w:val="36F56D67"/>
    <w:rsid w:val="36FE453D"/>
    <w:rsid w:val="37011D3F"/>
    <w:rsid w:val="37031A7D"/>
    <w:rsid w:val="37044703"/>
    <w:rsid w:val="371420AC"/>
    <w:rsid w:val="371B2546"/>
    <w:rsid w:val="37227431"/>
    <w:rsid w:val="37241E43"/>
    <w:rsid w:val="372800A6"/>
    <w:rsid w:val="37302E20"/>
    <w:rsid w:val="373B04F2"/>
    <w:rsid w:val="373C4996"/>
    <w:rsid w:val="37454226"/>
    <w:rsid w:val="37563E6B"/>
    <w:rsid w:val="375F0FFF"/>
    <w:rsid w:val="37711EAC"/>
    <w:rsid w:val="377B1418"/>
    <w:rsid w:val="377B4FAB"/>
    <w:rsid w:val="377C4D93"/>
    <w:rsid w:val="379540A7"/>
    <w:rsid w:val="37963E29"/>
    <w:rsid w:val="379C4EEE"/>
    <w:rsid w:val="379D29C6"/>
    <w:rsid w:val="379E73FF"/>
    <w:rsid w:val="37A07344"/>
    <w:rsid w:val="37A82ED1"/>
    <w:rsid w:val="37B10638"/>
    <w:rsid w:val="37B61174"/>
    <w:rsid w:val="37C13467"/>
    <w:rsid w:val="37CD4A2B"/>
    <w:rsid w:val="37D20E57"/>
    <w:rsid w:val="37D60C15"/>
    <w:rsid w:val="37D67851"/>
    <w:rsid w:val="37DC7A31"/>
    <w:rsid w:val="37EB2546"/>
    <w:rsid w:val="37F82E55"/>
    <w:rsid w:val="37FF59C4"/>
    <w:rsid w:val="380065E3"/>
    <w:rsid w:val="3805122C"/>
    <w:rsid w:val="381A45AC"/>
    <w:rsid w:val="381E6850"/>
    <w:rsid w:val="382742E6"/>
    <w:rsid w:val="382B2432"/>
    <w:rsid w:val="383218F5"/>
    <w:rsid w:val="38431D54"/>
    <w:rsid w:val="384A512D"/>
    <w:rsid w:val="38551B59"/>
    <w:rsid w:val="385B5BDE"/>
    <w:rsid w:val="385F18B0"/>
    <w:rsid w:val="385F275A"/>
    <w:rsid w:val="386556BB"/>
    <w:rsid w:val="386831F1"/>
    <w:rsid w:val="387B0050"/>
    <w:rsid w:val="387E4B3B"/>
    <w:rsid w:val="3882469C"/>
    <w:rsid w:val="38841E1F"/>
    <w:rsid w:val="388C5B13"/>
    <w:rsid w:val="389E2A00"/>
    <w:rsid w:val="38A02997"/>
    <w:rsid w:val="38A85873"/>
    <w:rsid w:val="38B60206"/>
    <w:rsid w:val="38B62305"/>
    <w:rsid w:val="38BC6B40"/>
    <w:rsid w:val="38C03BCC"/>
    <w:rsid w:val="38C509BB"/>
    <w:rsid w:val="38C8225A"/>
    <w:rsid w:val="38C878DF"/>
    <w:rsid w:val="38D061D9"/>
    <w:rsid w:val="38D8249D"/>
    <w:rsid w:val="38DC6A7A"/>
    <w:rsid w:val="38DD40DE"/>
    <w:rsid w:val="38E70932"/>
    <w:rsid w:val="38E726E0"/>
    <w:rsid w:val="38F60D15"/>
    <w:rsid w:val="38F760C4"/>
    <w:rsid w:val="38FF39F5"/>
    <w:rsid w:val="3902751A"/>
    <w:rsid w:val="390460D4"/>
    <w:rsid w:val="390E2362"/>
    <w:rsid w:val="391D25A6"/>
    <w:rsid w:val="39201A12"/>
    <w:rsid w:val="392652E2"/>
    <w:rsid w:val="392B4CC2"/>
    <w:rsid w:val="3942025E"/>
    <w:rsid w:val="39467E37"/>
    <w:rsid w:val="39487AFD"/>
    <w:rsid w:val="395104A1"/>
    <w:rsid w:val="39536A18"/>
    <w:rsid w:val="395C1320"/>
    <w:rsid w:val="3962445C"/>
    <w:rsid w:val="396741A7"/>
    <w:rsid w:val="396E4BAF"/>
    <w:rsid w:val="396F2771"/>
    <w:rsid w:val="39785A2E"/>
    <w:rsid w:val="39842B77"/>
    <w:rsid w:val="39864259"/>
    <w:rsid w:val="39900FC9"/>
    <w:rsid w:val="399A19E3"/>
    <w:rsid w:val="399C06F4"/>
    <w:rsid w:val="399F79E8"/>
    <w:rsid w:val="39A5453A"/>
    <w:rsid w:val="39A63327"/>
    <w:rsid w:val="39B60304"/>
    <w:rsid w:val="39CB0253"/>
    <w:rsid w:val="39D30EB6"/>
    <w:rsid w:val="39D52E80"/>
    <w:rsid w:val="39D864CC"/>
    <w:rsid w:val="39DD2A5B"/>
    <w:rsid w:val="39E82BB3"/>
    <w:rsid w:val="39E84962"/>
    <w:rsid w:val="39E93EAA"/>
    <w:rsid w:val="39EC22B0"/>
    <w:rsid w:val="39ED1F78"/>
    <w:rsid w:val="39F74BA5"/>
    <w:rsid w:val="39F76B2D"/>
    <w:rsid w:val="39FC21BB"/>
    <w:rsid w:val="3A092B2A"/>
    <w:rsid w:val="3A0A7CC5"/>
    <w:rsid w:val="3A0E3EC6"/>
    <w:rsid w:val="3A103123"/>
    <w:rsid w:val="3A18732F"/>
    <w:rsid w:val="3A1E08FF"/>
    <w:rsid w:val="3A323E2F"/>
    <w:rsid w:val="3A35391F"/>
    <w:rsid w:val="3A377697"/>
    <w:rsid w:val="3A3E0A25"/>
    <w:rsid w:val="3A43493D"/>
    <w:rsid w:val="3A485400"/>
    <w:rsid w:val="3A4C125C"/>
    <w:rsid w:val="3A4D0C68"/>
    <w:rsid w:val="3A4D2A17"/>
    <w:rsid w:val="3A575643"/>
    <w:rsid w:val="3A583E13"/>
    <w:rsid w:val="3A5F274A"/>
    <w:rsid w:val="3A6D4E67"/>
    <w:rsid w:val="3A6F0406"/>
    <w:rsid w:val="3A793E37"/>
    <w:rsid w:val="3A7A7584"/>
    <w:rsid w:val="3A802DEC"/>
    <w:rsid w:val="3A864432"/>
    <w:rsid w:val="3A87541A"/>
    <w:rsid w:val="3A8C23F6"/>
    <w:rsid w:val="3A9165A7"/>
    <w:rsid w:val="3A9B7C26"/>
    <w:rsid w:val="3A9C399E"/>
    <w:rsid w:val="3AAB2892"/>
    <w:rsid w:val="3AB605BC"/>
    <w:rsid w:val="3ABA6401"/>
    <w:rsid w:val="3AC548D9"/>
    <w:rsid w:val="3ACA050B"/>
    <w:rsid w:val="3AD865A5"/>
    <w:rsid w:val="3ADC0683"/>
    <w:rsid w:val="3AF94BB6"/>
    <w:rsid w:val="3B027CA5"/>
    <w:rsid w:val="3B033ECA"/>
    <w:rsid w:val="3B0529E3"/>
    <w:rsid w:val="3B0D272D"/>
    <w:rsid w:val="3B11075A"/>
    <w:rsid w:val="3B1654FE"/>
    <w:rsid w:val="3B194FEF"/>
    <w:rsid w:val="3B1D688D"/>
    <w:rsid w:val="3B273268"/>
    <w:rsid w:val="3B2A2D58"/>
    <w:rsid w:val="3B310D09"/>
    <w:rsid w:val="3B392F9B"/>
    <w:rsid w:val="3B393D5D"/>
    <w:rsid w:val="3B3F2CA7"/>
    <w:rsid w:val="3B4262F3"/>
    <w:rsid w:val="3B483D61"/>
    <w:rsid w:val="3B4A312C"/>
    <w:rsid w:val="3B4B5A1F"/>
    <w:rsid w:val="3B516536"/>
    <w:rsid w:val="3B5952F2"/>
    <w:rsid w:val="3B677B08"/>
    <w:rsid w:val="3B6C3370"/>
    <w:rsid w:val="3B6E2EEB"/>
    <w:rsid w:val="3B7010B2"/>
    <w:rsid w:val="3B701141"/>
    <w:rsid w:val="3B771FE1"/>
    <w:rsid w:val="3B7A5CFC"/>
    <w:rsid w:val="3B7B35B3"/>
    <w:rsid w:val="3B804D7F"/>
    <w:rsid w:val="3B862684"/>
    <w:rsid w:val="3B9823B7"/>
    <w:rsid w:val="3B9B5A04"/>
    <w:rsid w:val="3BB23479"/>
    <w:rsid w:val="3BB433AD"/>
    <w:rsid w:val="3BB46B78"/>
    <w:rsid w:val="3BBB7E54"/>
    <w:rsid w:val="3BC9431F"/>
    <w:rsid w:val="3BC96A15"/>
    <w:rsid w:val="3BD7068A"/>
    <w:rsid w:val="3BDF1D94"/>
    <w:rsid w:val="3BFD221A"/>
    <w:rsid w:val="3C026F2C"/>
    <w:rsid w:val="3C0D345A"/>
    <w:rsid w:val="3C233468"/>
    <w:rsid w:val="3C355E58"/>
    <w:rsid w:val="3C4A1903"/>
    <w:rsid w:val="3C4B09E0"/>
    <w:rsid w:val="3C5502A8"/>
    <w:rsid w:val="3C55750A"/>
    <w:rsid w:val="3C566F4B"/>
    <w:rsid w:val="3C6127A9"/>
    <w:rsid w:val="3C6329C5"/>
    <w:rsid w:val="3C697D08"/>
    <w:rsid w:val="3C7E4706"/>
    <w:rsid w:val="3C8229EC"/>
    <w:rsid w:val="3C833CE0"/>
    <w:rsid w:val="3C8452DB"/>
    <w:rsid w:val="3C862210"/>
    <w:rsid w:val="3C89795C"/>
    <w:rsid w:val="3C8B5CC0"/>
    <w:rsid w:val="3C8D7A42"/>
    <w:rsid w:val="3C9506A5"/>
    <w:rsid w:val="3C972C9E"/>
    <w:rsid w:val="3C9A513B"/>
    <w:rsid w:val="3C9B1C1B"/>
    <w:rsid w:val="3C9E57AB"/>
    <w:rsid w:val="3CA37266"/>
    <w:rsid w:val="3CAA05F4"/>
    <w:rsid w:val="3CCD6091"/>
    <w:rsid w:val="3CCF6C70"/>
    <w:rsid w:val="3CDE468E"/>
    <w:rsid w:val="3CDE59D7"/>
    <w:rsid w:val="3CF21BF9"/>
    <w:rsid w:val="3CFC0724"/>
    <w:rsid w:val="3CFD7DC1"/>
    <w:rsid w:val="3D0D46DF"/>
    <w:rsid w:val="3D1C4922"/>
    <w:rsid w:val="3D2F4655"/>
    <w:rsid w:val="3D332398"/>
    <w:rsid w:val="3D3B749E"/>
    <w:rsid w:val="3D3D3216"/>
    <w:rsid w:val="3D3D729B"/>
    <w:rsid w:val="3D5440BC"/>
    <w:rsid w:val="3D5567B2"/>
    <w:rsid w:val="3D652B23"/>
    <w:rsid w:val="3D685682"/>
    <w:rsid w:val="3D7F69BE"/>
    <w:rsid w:val="3D811785"/>
    <w:rsid w:val="3D9155F5"/>
    <w:rsid w:val="3D9F5C7A"/>
    <w:rsid w:val="3D9F7A2D"/>
    <w:rsid w:val="3DB039E8"/>
    <w:rsid w:val="3DB5435E"/>
    <w:rsid w:val="3DB8307D"/>
    <w:rsid w:val="3DC2371B"/>
    <w:rsid w:val="3DC476A9"/>
    <w:rsid w:val="3DDD2AAF"/>
    <w:rsid w:val="3DE0155E"/>
    <w:rsid w:val="3DE3029B"/>
    <w:rsid w:val="3DE418E4"/>
    <w:rsid w:val="3DF072F5"/>
    <w:rsid w:val="3DFA4C63"/>
    <w:rsid w:val="3E021D6A"/>
    <w:rsid w:val="3E037762"/>
    <w:rsid w:val="3E0C4997"/>
    <w:rsid w:val="3E25632A"/>
    <w:rsid w:val="3E3A59A8"/>
    <w:rsid w:val="3E4203B8"/>
    <w:rsid w:val="3E4D1153"/>
    <w:rsid w:val="3E4D56DB"/>
    <w:rsid w:val="3E547401"/>
    <w:rsid w:val="3E594080"/>
    <w:rsid w:val="3E5B2F9C"/>
    <w:rsid w:val="3E5C4A40"/>
    <w:rsid w:val="3E6A484A"/>
    <w:rsid w:val="3E6F188A"/>
    <w:rsid w:val="3E774506"/>
    <w:rsid w:val="3E7A3FF6"/>
    <w:rsid w:val="3E846C23"/>
    <w:rsid w:val="3E864749"/>
    <w:rsid w:val="3E8B6BF6"/>
    <w:rsid w:val="3E913446"/>
    <w:rsid w:val="3E92452D"/>
    <w:rsid w:val="3E950E30"/>
    <w:rsid w:val="3E9B42A1"/>
    <w:rsid w:val="3E9B4698"/>
    <w:rsid w:val="3E9C3F6D"/>
    <w:rsid w:val="3E9E5F37"/>
    <w:rsid w:val="3EA03A5D"/>
    <w:rsid w:val="3EA370A9"/>
    <w:rsid w:val="3EA43032"/>
    <w:rsid w:val="3EAE35B1"/>
    <w:rsid w:val="3EB92D70"/>
    <w:rsid w:val="3EBA3874"/>
    <w:rsid w:val="3EC33D7B"/>
    <w:rsid w:val="3EC9278A"/>
    <w:rsid w:val="3ECB0721"/>
    <w:rsid w:val="3EDE4585"/>
    <w:rsid w:val="3EE020AB"/>
    <w:rsid w:val="3EED2A1A"/>
    <w:rsid w:val="3EEF0540"/>
    <w:rsid w:val="3EF36FFB"/>
    <w:rsid w:val="3EF56614"/>
    <w:rsid w:val="3EF94F1B"/>
    <w:rsid w:val="3EFB5137"/>
    <w:rsid w:val="3F042A00"/>
    <w:rsid w:val="3F2A1578"/>
    <w:rsid w:val="3F2C2E4B"/>
    <w:rsid w:val="3F2C3542"/>
    <w:rsid w:val="3F2F5E25"/>
    <w:rsid w:val="3F3F6D05"/>
    <w:rsid w:val="3F472B65"/>
    <w:rsid w:val="3F4A5777"/>
    <w:rsid w:val="3F5B2D37"/>
    <w:rsid w:val="3F5B6130"/>
    <w:rsid w:val="3F620D43"/>
    <w:rsid w:val="3F652A19"/>
    <w:rsid w:val="3F6E4C06"/>
    <w:rsid w:val="3F6F78D3"/>
    <w:rsid w:val="3F710F55"/>
    <w:rsid w:val="3F7722E4"/>
    <w:rsid w:val="3F8043D1"/>
    <w:rsid w:val="3F823162"/>
    <w:rsid w:val="3FAB12F2"/>
    <w:rsid w:val="3FB00368"/>
    <w:rsid w:val="3FB157F6"/>
    <w:rsid w:val="3FC512A1"/>
    <w:rsid w:val="3FD63629"/>
    <w:rsid w:val="3FD6525C"/>
    <w:rsid w:val="3FF02274"/>
    <w:rsid w:val="3FF51B86"/>
    <w:rsid w:val="3FFC2E0D"/>
    <w:rsid w:val="3FFD188D"/>
    <w:rsid w:val="400022D9"/>
    <w:rsid w:val="40112110"/>
    <w:rsid w:val="402266F3"/>
    <w:rsid w:val="40275AB8"/>
    <w:rsid w:val="402D5ADF"/>
    <w:rsid w:val="402E66E7"/>
    <w:rsid w:val="40415CAC"/>
    <w:rsid w:val="404B79F8"/>
    <w:rsid w:val="404C4F8F"/>
    <w:rsid w:val="405469BD"/>
    <w:rsid w:val="40572841"/>
    <w:rsid w:val="406E1939"/>
    <w:rsid w:val="40721429"/>
    <w:rsid w:val="40724A02"/>
    <w:rsid w:val="40751108"/>
    <w:rsid w:val="407705DB"/>
    <w:rsid w:val="40783749"/>
    <w:rsid w:val="40786313"/>
    <w:rsid w:val="408371D2"/>
    <w:rsid w:val="40864806"/>
    <w:rsid w:val="408E5CD7"/>
    <w:rsid w:val="40905D53"/>
    <w:rsid w:val="40920B3F"/>
    <w:rsid w:val="40927954"/>
    <w:rsid w:val="40972C3D"/>
    <w:rsid w:val="4097337D"/>
    <w:rsid w:val="409C3516"/>
    <w:rsid w:val="40AB5D0A"/>
    <w:rsid w:val="40AD77E9"/>
    <w:rsid w:val="40B7508E"/>
    <w:rsid w:val="40B94782"/>
    <w:rsid w:val="40BE466E"/>
    <w:rsid w:val="40C33C8B"/>
    <w:rsid w:val="40C715E0"/>
    <w:rsid w:val="40CA1D70"/>
    <w:rsid w:val="40D0614F"/>
    <w:rsid w:val="40D514FC"/>
    <w:rsid w:val="40D54E4D"/>
    <w:rsid w:val="40D74543"/>
    <w:rsid w:val="40D914A8"/>
    <w:rsid w:val="40EC492F"/>
    <w:rsid w:val="40F005A0"/>
    <w:rsid w:val="40F0234E"/>
    <w:rsid w:val="40F56C43"/>
    <w:rsid w:val="40FC6F44"/>
    <w:rsid w:val="40FE796A"/>
    <w:rsid w:val="41016309"/>
    <w:rsid w:val="4108703C"/>
    <w:rsid w:val="410F4ECA"/>
    <w:rsid w:val="4114603C"/>
    <w:rsid w:val="41210759"/>
    <w:rsid w:val="41212AEE"/>
    <w:rsid w:val="41231FC8"/>
    <w:rsid w:val="41273801"/>
    <w:rsid w:val="412A3AB2"/>
    <w:rsid w:val="413B7A6D"/>
    <w:rsid w:val="41524DB6"/>
    <w:rsid w:val="415C6379"/>
    <w:rsid w:val="41622F3B"/>
    <w:rsid w:val="416E62DC"/>
    <w:rsid w:val="41764791"/>
    <w:rsid w:val="41797C42"/>
    <w:rsid w:val="41801923"/>
    <w:rsid w:val="41874A60"/>
    <w:rsid w:val="418D39FD"/>
    <w:rsid w:val="41943BB6"/>
    <w:rsid w:val="419612EE"/>
    <w:rsid w:val="41963C03"/>
    <w:rsid w:val="41A01FC6"/>
    <w:rsid w:val="41A75102"/>
    <w:rsid w:val="41B935B5"/>
    <w:rsid w:val="41BB6E00"/>
    <w:rsid w:val="41BE4812"/>
    <w:rsid w:val="41CA0DF1"/>
    <w:rsid w:val="41CC6917"/>
    <w:rsid w:val="41D41C6F"/>
    <w:rsid w:val="41D61543"/>
    <w:rsid w:val="41D852BC"/>
    <w:rsid w:val="41DC1345"/>
    <w:rsid w:val="41DF4CF2"/>
    <w:rsid w:val="41E57680"/>
    <w:rsid w:val="41EF0857"/>
    <w:rsid w:val="41F760ED"/>
    <w:rsid w:val="41FF6CEC"/>
    <w:rsid w:val="42024A2E"/>
    <w:rsid w:val="42035C7E"/>
    <w:rsid w:val="42054E01"/>
    <w:rsid w:val="42120741"/>
    <w:rsid w:val="421309EA"/>
    <w:rsid w:val="4216703F"/>
    <w:rsid w:val="4226685B"/>
    <w:rsid w:val="422A581C"/>
    <w:rsid w:val="422B5711"/>
    <w:rsid w:val="422C694D"/>
    <w:rsid w:val="422E75D1"/>
    <w:rsid w:val="423B16D9"/>
    <w:rsid w:val="423B584A"/>
    <w:rsid w:val="42407C72"/>
    <w:rsid w:val="42482E91"/>
    <w:rsid w:val="424965E0"/>
    <w:rsid w:val="425753C0"/>
    <w:rsid w:val="4258626D"/>
    <w:rsid w:val="425A6618"/>
    <w:rsid w:val="425D7EB7"/>
    <w:rsid w:val="425E3DCE"/>
    <w:rsid w:val="42642FF3"/>
    <w:rsid w:val="426D634C"/>
    <w:rsid w:val="42775BF0"/>
    <w:rsid w:val="4281200D"/>
    <w:rsid w:val="42861B49"/>
    <w:rsid w:val="428C60A6"/>
    <w:rsid w:val="428D0D68"/>
    <w:rsid w:val="428E0070"/>
    <w:rsid w:val="4290203A"/>
    <w:rsid w:val="42914504"/>
    <w:rsid w:val="42921A57"/>
    <w:rsid w:val="42983ED9"/>
    <w:rsid w:val="42A41642"/>
    <w:rsid w:val="42A6360C"/>
    <w:rsid w:val="42B25847"/>
    <w:rsid w:val="42B3131D"/>
    <w:rsid w:val="42BA2C13"/>
    <w:rsid w:val="42BE0955"/>
    <w:rsid w:val="42C4560E"/>
    <w:rsid w:val="42C45840"/>
    <w:rsid w:val="42C57F36"/>
    <w:rsid w:val="42DF08CC"/>
    <w:rsid w:val="42EA799C"/>
    <w:rsid w:val="42F06635"/>
    <w:rsid w:val="42F84AF5"/>
    <w:rsid w:val="430A3B9B"/>
    <w:rsid w:val="430B16C1"/>
    <w:rsid w:val="430D71E7"/>
    <w:rsid w:val="43162488"/>
    <w:rsid w:val="43171E14"/>
    <w:rsid w:val="431A6DA3"/>
    <w:rsid w:val="431C1159"/>
    <w:rsid w:val="4321120D"/>
    <w:rsid w:val="43252782"/>
    <w:rsid w:val="432C378C"/>
    <w:rsid w:val="43331C2E"/>
    <w:rsid w:val="434906F1"/>
    <w:rsid w:val="434B6496"/>
    <w:rsid w:val="43591632"/>
    <w:rsid w:val="435C1F1C"/>
    <w:rsid w:val="43646C32"/>
    <w:rsid w:val="436A5983"/>
    <w:rsid w:val="436F06B3"/>
    <w:rsid w:val="43813306"/>
    <w:rsid w:val="43813731"/>
    <w:rsid w:val="4387343D"/>
    <w:rsid w:val="43885BFF"/>
    <w:rsid w:val="43923EB6"/>
    <w:rsid w:val="439310F4"/>
    <w:rsid w:val="43993170"/>
    <w:rsid w:val="439B0C97"/>
    <w:rsid w:val="43A24A91"/>
    <w:rsid w:val="43A55671"/>
    <w:rsid w:val="43A90C5F"/>
    <w:rsid w:val="43AB47D2"/>
    <w:rsid w:val="43B41D58"/>
    <w:rsid w:val="43C27FD1"/>
    <w:rsid w:val="43C875B2"/>
    <w:rsid w:val="43CF3AAE"/>
    <w:rsid w:val="43D77A01"/>
    <w:rsid w:val="43D917BF"/>
    <w:rsid w:val="43DF5653"/>
    <w:rsid w:val="43E0036D"/>
    <w:rsid w:val="43E43B78"/>
    <w:rsid w:val="43EA533C"/>
    <w:rsid w:val="43F32881"/>
    <w:rsid w:val="43F65ECD"/>
    <w:rsid w:val="43FA44C2"/>
    <w:rsid w:val="43FC217D"/>
    <w:rsid w:val="43FE7FBC"/>
    <w:rsid w:val="440367D4"/>
    <w:rsid w:val="4407632C"/>
    <w:rsid w:val="44095C00"/>
    <w:rsid w:val="440B5E1C"/>
    <w:rsid w:val="440E16B7"/>
    <w:rsid w:val="44133E18"/>
    <w:rsid w:val="441427F7"/>
    <w:rsid w:val="44174EC2"/>
    <w:rsid w:val="441D78FE"/>
    <w:rsid w:val="4436276D"/>
    <w:rsid w:val="44505215"/>
    <w:rsid w:val="445157F9"/>
    <w:rsid w:val="44663053"/>
    <w:rsid w:val="446E1F07"/>
    <w:rsid w:val="447B63D2"/>
    <w:rsid w:val="447F0234"/>
    <w:rsid w:val="448160DE"/>
    <w:rsid w:val="448636F5"/>
    <w:rsid w:val="448922C7"/>
    <w:rsid w:val="448B2AB9"/>
    <w:rsid w:val="448E07FB"/>
    <w:rsid w:val="448E25A9"/>
    <w:rsid w:val="44A55215"/>
    <w:rsid w:val="44B518E4"/>
    <w:rsid w:val="44CE7869"/>
    <w:rsid w:val="44D91A9D"/>
    <w:rsid w:val="44EC7DE1"/>
    <w:rsid w:val="44EE129A"/>
    <w:rsid w:val="44F22B38"/>
    <w:rsid w:val="45034D45"/>
    <w:rsid w:val="450E2590"/>
    <w:rsid w:val="450E7246"/>
    <w:rsid w:val="451E392D"/>
    <w:rsid w:val="452060AD"/>
    <w:rsid w:val="452E295B"/>
    <w:rsid w:val="45336CAD"/>
    <w:rsid w:val="45351FC1"/>
    <w:rsid w:val="45386828"/>
    <w:rsid w:val="45464C32"/>
    <w:rsid w:val="454B3D1A"/>
    <w:rsid w:val="45576E3F"/>
    <w:rsid w:val="455A06DD"/>
    <w:rsid w:val="4567238D"/>
    <w:rsid w:val="457D7286"/>
    <w:rsid w:val="458501A1"/>
    <w:rsid w:val="45873277"/>
    <w:rsid w:val="459040FF"/>
    <w:rsid w:val="45961716"/>
    <w:rsid w:val="459B31D0"/>
    <w:rsid w:val="45A81C96"/>
    <w:rsid w:val="45A84B73"/>
    <w:rsid w:val="45B24076"/>
    <w:rsid w:val="45BB7A4E"/>
    <w:rsid w:val="45DF6B38"/>
    <w:rsid w:val="45E32481"/>
    <w:rsid w:val="45E83F3B"/>
    <w:rsid w:val="45EC2637"/>
    <w:rsid w:val="45EC2D14"/>
    <w:rsid w:val="45ED6ABC"/>
    <w:rsid w:val="45FE079B"/>
    <w:rsid w:val="460657B1"/>
    <w:rsid w:val="46072613"/>
    <w:rsid w:val="46076655"/>
    <w:rsid w:val="460A6FC5"/>
    <w:rsid w:val="461E733C"/>
    <w:rsid w:val="46256814"/>
    <w:rsid w:val="46322F5A"/>
    <w:rsid w:val="46333181"/>
    <w:rsid w:val="46334C85"/>
    <w:rsid w:val="463B406B"/>
    <w:rsid w:val="463D4287"/>
    <w:rsid w:val="46445615"/>
    <w:rsid w:val="464A0752"/>
    <w:rsid w:val="4652669D"/>
    <w:rsid w:val="46580056"/>
    <w:rsid w:val="465E0D9D"/>
    <w:rsid w:val="465E7D59"/>
    <w:rsid w:val="466E0628"/>
    <w:rsid w:val="46703CDF"/>
    <w:rsid w:val="46744233"/>
    <w:rsid w:val="468679DC"/>
    <w:rsid w:val="46880BBC"/>
    <w:rsid w:val="468F13D3"/>
    <w:rsid w:val="46901CA5"/>
    <w:rsid w:val="46903654"/>
    <w:rsid w:val="46A62763"/>
    <w:rsid w:val="46AA7E58"/>
    <w:rsid w:val="46B67B95"/>
    <w:rsid w:val="46C07334"/>
    <w:rsid w:val="46C72FA0"/>
    <w:rsid w:val="46CA4A6F"/>
    <w:rsid w:val="46CB6EEA"/>
    <w:rsid w:val="46CB7E14"/>
    <w:rsid w:val="46D36999"/>
    <w:rsid w:val="46D76F97"/>
    <w:rsid w:val="46E75FA1"/>
    <w:rsid w:val="46F4765C"/>
    <w:rsid w:val="46F54B62"/>
    <w:rsid w:val="46F8008E"/>
    <w:rsid w:val="47017063"/>
    <w:rsid w:val="47025B38"/>
    <w:rsid w:val="47094169"/>
    <w:rsid w:val="47177A9E"/>
    <w:rsid w:val="471B239D"/>
    <w:rsid w:val="4723522B"/>
    <w:rsid w:val="472774A3"/>
    <w:rsid w:val="473311E6"/>
    <w:rsid w:val="47341810"/>
    <w:rsid w:val="47361D31"/>
    <w:rsid w:val="47376F28"/>
    <w:rsid w:val="47470357"/>
    <w:rsid w:val="475A4BDB"/>
    <w:rsid w:val="476B0980"/>
    <w:rsid w:val="477517FF"/>
    <w:rsid w:val="477737C9"/>
    <w:rsid w:val="477D3F7B"/>
    <w:rsid w:val="479003E6"/>
    <w:rsid w:val="47A05A51"/>
    <w:rsid w:val="47A65B35"/>
    <w:rsid w:val="47AA234B"/>
    <w:rsid w:val="47B2035D"/>
    <w:rsid w:val="47B71E17"/>
    <w:rsid w:val="47B916EB"/>
    <w:rsid w:val="47BE6D02"/>
    <w:rsid w:val="47C85DD2"/>
    <w:rsid w:val="47D7542C"/>
    <w:rsid w:val="47E1630E"/>
    <w:rsid w:val="47E2043D"/>
    <w:rsid w:val="47E80223"/>
    <w:rsid w:val="47EE004A"/>
    <w:rsid w:val="47F15329"/>
    <w:rsid w:val="47F40975"/>
    <w:rsid w:val="480212E4"/>
    <w:rsid w:val="480A1F47"/>
    <w:rsid w:val="480E42B6"/>
    <w:rsid w:val="48147269"/>
    <w:rsid w:val="48221986"/>
    <w:rsid w:val="482E1898"/>
    <w:rsid w:val="48354D07"/>
    <w:rsid w:val="48440908"/>
    <w:rsid w:val="484E277B"/>
    <w:rsid w:val="4856518C"/>
    <w:rsid w:val="485D58A5"/>
    <w:rsid w:val="4860594F"/>
    <w:rsid w:val="486F44A0"/>
    <w:rsid w:val="48802209"/>
    <w:rsid w:val="488D22D2"/>
    <w:rsid w:val="489100F3"/>
    <w:rsid w:val="48A50973"/>
    <w:rsid w:val="48A95C04"/>
    <w:rsid w:val="48AB197C"/>
    <w:rsid w:val="48AE540B"/>
    <w:rsid w:val="48CC0B01"/>
    <w:rsid w:val="48F21359"/>
    <w:rsid w:val="48FC21D7"/>
    <w:rsid w:val="490D006F"/>
    <w:rsid w:val="491A08B0"/>
    <w:rsid w:val="491B5F47"/>
    <w:rsid w:val="49205233"/>
    <w:rsid w:val="4929464F"/>
    <w:rsid w:val="49397B63"/>
    <w:rsid w:val="493A144F"/>
    <w:rsid w:val="49415E3C"/>
    <w:rsid w:val="49470F79"/>
    <w:rsid w:val="494D4D8B"/>
    <w:rsid w:val="495434A1"/>
    <w:rsid w:val="49695393"/>
    <w:rsid w:val="496C41A4"/>
    <w:rsid w:val="497004D0"/>
    <w:rsid w:val="49706721"/>
    <w:rsid w:val="49747FC0"/>
    <w:rsid w:val="497F6965"/>
    <w:rsid w:val="49836455"/>
    <w:rsid w:val="49862CF3"/>
    <w:rsid w:val="49882B07"/>
    <w:rsid w:val="499B3FC2"/>
    <w:rsid w:val="49A60395"/>
    <w:rsid w:val="49A8294B"/>
    <w:rsid w:val="49AB775A"/>
    <w:rsid w:val="49B5670D"/>
    <w:rsid w:val="49B605D8"/>
    <w:rsid w:val="49B760FE"/>
    <w:rsid w:val="49B7749A"/>
    <w:rsid w:val="49BF6D61"/>
    <w:rsid w:val="49C34AA3"/>
    <w:rsid w:val="49CA0403"/>
    <w:rsid w:val="49CB3958"/>
    <w:rsid w:val="49D7054F"/>
    <w:rsid w:val="49D722FD"/>
    <w:rsid w:val="49DB003F"/>
    <w:rsid w:val="49E52C5C"/>
    <w:rsid w:val="49E52C6C"/>
    <w:rsid w:val="49EC3223"/>
    <w:rsid w:val="49EF5AA2"/>
    <w:rsid w:val="49F1692F"/>
    <w:rsid w:val="49F41101"/>
    <w:rsid w:val="4A18085F"/>
    <w:rsid w:val="4A1975FF"/>
    <w:rsid w:val="4A1C2405"/>
    <w:rsid w:val="4A201EF6"/>
    <w:rsid w:val="4A231B57"/>
    <w:rsid w:val="4A2D63C1"/>
    <w:rsid w:val="4A2F20BE"/>
    <w:rsid w:val="4A3E685E"/>
    <w:rsid w:val="4A4831FA"/>
    <w:rsid w:val="4A484FA8"/>
    <w:rsid w:val="4A4E5F1A"/>
    <w:rsid w:val="4A516051"/>
    <w:rsid w:val="4A54394D"/>
    <w:rsid w:val="4A56539B"/>
    <w:rsid w:val="4A5751EC"/>
    <w:rsid w:val="4A653DAC"/>
    <w:rsid w:val="4A7638C4"/>
    <w:rsid w:val="4A791606"/>
    <w:rsid w:val="4A7B766A"/>
    <w:rsid w:val="4A7F6C12"/>
    <w:rsid w:val="4A835FE1"/>
    <w:rsid w:val="4A8561FD"/>
    <w:rsid w:val="4A875AD1"/>
    <w:rsid w:val="4A8A74A1"/>
    <w:rsid w:val="4A8B120B"/>
    <w:rsid w:val="4A8D0DD3"/>
    <w:rsid w:val="4AA246B9"/>
    <w:rsid w:val="4AB029A4"/>
    <w:rsid w:val="4AB443EC"/>
    <w:rsid w:val="4ABC333D"/>
    <w:rsid w:val="4AC14145"/>
    <w:rsid w:val="4AD4517C"/>
    <w:rsid w:val="4AD729C1"/>
    <w:rsid w:val="4ADB23BB"/>
    <w:rsid w:val="4AE02192"/>
    <w:rsid w:val="4AE41175"/>
    <w:rsid w:val="4AE64EED"/>
    <w:rsid w:val="4AF56EDE"/>
    <w:rsid w:val="4AFD2237"/>
    <w:rsid w:val="4B076C12"/>
    <w:rsid w:val="4B1B6B80"/>
    <w:rsid w:val="4B1F4F3E"/>
    <w:rsid w:val="4B223B4C"/>
    <w:rsid w:val="4B257098"/>
    <w:rsid w:val="4B29678D"/>
    <w:rsid w:val="4B2B24DB"/>
    <w:rsid w:val="4B2F6C12"/>
    <w:rsid w:val="4B3C4356"/>
    <w:rsid w:val="4B5C49F6"/>
    <w:rsid w:val="4B616322"/>
    <w:rsid w:val="4B620E73"/>
    <w:rsid w:val="4B62209A"/>
    <w:rsid w:val="4B6452DC"/>
    <w:rsid w:val="4B6D116B"/>
    <w:rsid w:val="4B6E6B49"/>
    <w:rsid w:val="4B72247E"/>
    <w:rsid w:val="4B7A3BD2"/>
    <w:rsid w:val="4B885FA4"/>
    <w:rsid w:val="4B92297F"/>
    <w:rsid w:val="4BB51B78"/>
    <w:rsid w:val="4BB74194"/>
    <w:rsid w:val="4BBB1B66"/>
    <w:rsid w:val="4BC15012"/>
    <w:rsid w:val="4BC337CD"/>
    <w:rsid w:val="4BC65CE1"/>
    <w:rsid w:val="4BD905AE"/>
    <w:rsid w:val="4BDA4326"/>
    <w:rsid w:val="4BDD5354"/>
    <w:rsid w:val="4BE17463"/>
    <w:rsid w:val="4BEC277D"/>
    <w:rsid w:val="4BFC429C"/>
    <w:rsid w:val="4C043151"/>
    <w:rsid w:val="4C04422D"/>
    <w:rsid w:val="4C0F2222"/>
    <w:rsid w:val="4C147633"/>
    <w:rsid w:val="4C1531E0"/>
    <w:rsid w:val="4C15535E"/>
    <w:rsid w:val="4C157CF0"/>
    <w:rsid w:val="4C172E84"/>
    <w:rsid w:val="4C173A6E"/>
    <w:rsid w:val="4C1B2583"/>
    <w:rsid w:val="4C1B2975"/>
    <w:rsid w:val="4C1E4723"/>
    <w:rsid w:val="4C2537F3"/>
    <w:rsid w:val="4C26301D"/>
    <w:rsid w:val="4C26756B"/>
    <w:rsid w:val="4C4023DB"/>
    <w:rsid w:val="4C470543"/>
    <w:rsid w:val="4C4A62E3"/>
    <w:rsid w:val="4C4C6CED"/>
    <w:rsid w:val="4C4D4AF8"/>
    <w:rsid w:val="4C516B31"/>
    <w:rsid w:val="4C5D37D9"/>
    <w:rsid w:val="4C642ED9"/>
    <w:rsid w:val="4C651D6D"/>
    <w:rsid w:val="4C6F386F"/>
    <w:rsid w:val="4C796B23"/>
    <w:rsid w:val="4C96021E"/>
    <w:rsid w:val="4C963B8C"/>
    <w:rsid w:val="4C9B0624"/>
    <w:rsid w:val="4C9B1BFE"/>
    <w:rsid w:val="4C9D6FDD"/>
    <w:rsid w:val="4C9E131B"/>
    <w:rsid w:val="4C9F07A7"/>
    <w:rsid w:val="4CB22BAD"/>
    <w:rsid w:val="4CCE79E7"/>
    <w:rsid w:val="4CD8042C"/>
    <w:rsid w:val="4CDB65A8"/>
    <w:rsid w:val="4CDD7C2A"/>
    <w:rsid w:val="4CE4545C"/>
    <w:rsid w:val="4CF5766A"/>
    <w:rsid w:val="4CF81242"/>
    <w:rsid w:val="4CFA35E9"/>
    <w:rsid w:val="4D007DBC"/>
    <w:rsid w:val="4D024302"/>
    <w:rsid w:val="4D081C15"/>
    <w:rsid w:val="4D090A1F"/>
    <w:rsid w:val="4D0E23D9"/>
    <w:rsid w:val="4D0F7FFF"/>
    <w:rsid w:val="4D125346"/>
    <w:rsid w:val="4D1B3ED6"/>
    <w:rsid w:val="4D32473B"/>
    <w:rsid w:val="4D371A30"/>
    <w:rsid w:val="4D3E798C"/>
    <w:rsid w:val="4D425594"/>
    <w:rsid w:val="4D4700BE"/>
    <w:rsid w:val="4D522CAA"/>
    <w:rsid w:val="4D541C7C"/>
    <w:rsid w:val="4D663C6F"/>
    <w:rsid w:val="4D6B16DA"/>
    <w:rsid w:val="4D6D36A4"/>
    <w:rsid w:val="4D6E4D26"/>
    <w:rsid w:val="4D7C5695"/>
    <w:rsid w:val="4D7E765F"/>
    <w:rsid w:val="4D880854"/>
    <w:rsid w:val="4D956757"/>
    <w:rsid w:val="4DA515A2"/>
    <w:rsid w:val="4DB356B2"/>
    <w:rsid w:val="4DB7491F"/>
    <w:rsid w:val="4DC40DEA"/>
    <w:rsid w:val="4DC82D7F"/>
    <w:rsid w:val="4DCA2EE8"/>
    <w:rsid w:val="4DE1199C"/>
    <w:rsid w:val="4DE5267A"/>
    <w:rsid w:val="4DEE5E67"/>
    <w:rsid w:val="4DF067FC"/>
    <w:rsid w:val="4DF416CF"/>
    <w:rsid w:val="4DFA0B08"/>
    <w:rsid w:val="4DFF0074"/>
    <w:rsid w:val="4E137DBE"/>
    <w:rsid w:val="4E141A1F"/>
    <w:rsid w:val="4E15027F"/>
    <w:rsid w:val="4E17716C"/>
    <w:rsid w:val="4E2228AD"/>
    <w:rsid w:val="4E2420C1"/>
    <w:rsid w:val="4E257ADB"/>
    <w:rsid w:val="4E2B4B10"/>
    <w:rsid w:val="4E3160E5"/>
    <w:rsid w:val="4E355844"/>
    <w:rsid w:val="4E3D5895"/>
    <w:rsid w:val="4E410BAD"/>
    <w:rsid w:val="4E434405"/>
    <w:rsid w:val="4E44654C"/>
    <w:rsid w:val="4E4C150B"/>
    <w:rsid w:val="4E6525CD"/>
    <w:rsid w:val="4E66420B"/>
    <w:rsid w:val="4E7B3B9E"/>
    <w:rsid w:val="4E830117"/>
    <w:rsid w:val="4E864BE2"/>
    <w:rsid w:val="4E8D7CD7"/>
    <w:rsid w:val="4E930103"/>
    <w:rsid w:val="4E962786"/>
    <w:rsid w:val="4E994025"/>
    <w:rsid w:val="4E9E5ADF"/>
    <w:rsid w:val="4EA51AE7"/>
    <w:rsid w:val="4EAA24F5"/>
    <w:rsid w:val="4EB51148"/>
    <w:rsid w:val="4EBD41B7"/>
    <w:rsid w:val="4EBE1CDD"/>
    <w:rsid w:val="4EC45ED1"/>
    <w:rsid w:val="4ED86F8F"/>
    <w:rsid w:val="4EDE5EDB"/>
    <w:rsid w:val="4EDF1ABC"/>
    <w:rsid w:val="4EE31744"/>
    <w:rsid w:val="4EE55BAE"/>
    <w:rsid w:val="4EE74D90"/>
    <w:rsid w:val="4EF23735"/>
    <w:rsid w:val="4EFB083B"/>
    <w:rsid w:val="4F0C78AF"/>
    <w:rsid w:val="4F0E67C1"/>
    <w:rsid w:val="4F1E58EE"/>
    <w:rsid w:val="4F255A82"/>
    <w:rsid w:val="4F2B5D2E"/>
    <w:rsid w:val="4F351F9F"/>
    <w:rsid w:val="4F4B394C"/>
    <w:rsid w:val="4F4C72E9"/>
    <w:rsid w:val="4F4E28BC"/>
    <w:rsid w:val="4F4E4E0F"/>
    <w:rsid w:val="4F532425"/>
    <w:rsid w:val="4F6103F5"/>
    <w:rsid w:val="4F6A776F"/>
    <w:rsid w:val="4F7800DE"/>
    <w:rsid w:val="4F817EC1"/>
    <w:rsid w:val="4F973207"/>
    <w:rsid w:val="4FB235F0"/>
    <w:rsid w:val="4FB54E8E"/>
    <w:rsid w:val="4FBB15E5"/>
    <w:rsid w:val="4FC13833"/>
    <w:rsid w:val="4FD5108C"/>
    <w:rsid w:val="4FD74D0A"/>
    <w:rsid w:val="4FE01427"/>
    <w:rsid w:val="4FE70DC0"/>
    <w:rsid w:val="4FFF30B2"/>
    <w:rsid w:val="500E27F0"/>
    <w:rsid w:val="500F2595"/>
    <w:rsid w:val="500F5E36"/>
    <w:rsid w:val="5023629C"/>
    <w:rsid w:val="502D2C76"/>
    <w:rsid w:val="502E60F8"/>
    <w:rsid w:val="503179CC"/>
    <w:rsid w:val="50321058"/>
    <w:rsid w:val="50377F99"/>
    <w:rsid w:val="50396A37"/>
    <w:rsid w:val="503B2799"/>
    <w:rsid w:val="504024CE"/>
    <w:rsid w:val="5040281E"/>
    <w:rsid w:val="504A1A7A"/>
    <w:rsid w:val="504B2DEF"/>
    <w:rsid w:val="50533AEF"/>
    <w:rsid w:val="505521CD"/>
    <w:rsid w:val="505C355C"/>
    <w:rsid w:val="50616DC4"/>
    <w:rsid w:val="50630D8E"/>
    <w:rsid w:val="50642410"/>
    <w:rsid w:val="5067120F"/>
    <w:rsid w:val="506A6E9C"/>
    <w:rsid w:val="50706964"/>
    <w:rsid w:val="507C775A"/>
    <w:rsid w:val="508036EE"/>
    <w:rsid w:val="508463DB"/>
    <w:rsid w:val="50854860"/>
    <w:rsid w:val="50901457"/>
    <w:rsid w:val="50926F7D"/>
    <w:rsid w:val="509E1DC6"/>
    <w:rsid w:val="50A13664"/>
    <w:rsid w:val="50A56CB1"/>
    <w:rsid w:val="50A74BD7"/>
    <w:rsid w:val="50AC16E4"/>
    <w:rsid w:val="50B21821"/>
    <w:rsid w:val="50B55395"/>
    <w:rsid w:val="50B9275C"/>
    <w:rsid w:val="50C119DB"/>
    <w:rsid w:val="50D41344"/>
    <w:rsid w:val="50D852D8"/>
    <w:rsid w:val="50DA12C4"/>
    <w:rsid w:val="50DD23FB"/>
    <w:rsid w:val="50E106E9"/>
    <w:rsid w:val="50E7376D"/>
    <w:rsid w:val="50EC2B32"/>
    <w:rsid w:val="50F47C38"/>
    <w:rsid w:val="50F639B0"/>
    <w:rsid w:val="50F97C41"/>
    <w:rsid w:val="50FB17B5"/>
    <w:rsid w:val="50FD6AED"/>
    <w:rsid w:val="51047D5F"/>
    <w:rsid w:val="51053BF3"/>
    <w:rsid w:val="510D5D39"/>
    <w:rsid w:val="51163C99"/>
    <w:rsid w:val="51200A2D"/>
    <w:rsid w:val="512247A5"/>
    <w:rsid w:val="512D606A"/>
    <w:rsid w:val="514402EF"/>
    <w:rsid w:val="514566E6"/>
    <w:rsid w:val="514724D8"/>
    <w:rsid w:val="514A360A"/>
    <w:rsid w:val="515160D2"/>
    <w:rsid w:val="516F72BF"/>
    <w:rsid w:val="51730113"/>
    <w:rsid w:val="51736DAF"/>
    <w:rsid w:val="51791EEB"/>
    <w:rsid w:val="517D19DC"/>
    <w:rsid w:val="51915487"/>
    <w:rsid w:val="51950C92"/>
    <w:rsid w:val="519D5BDA"/>
    <w:rsid w:val="51A927D1"/>
    <w:rsid w:val="51AD69DE"/>
    <w:rsid w:val="51BA49DE"/>
    <w:rsid w:val="51BD2B01"/>
    <w:rsid w:val="51C27D36"/>
    <w:rsid w:val="51D3784E"/>
    <w:rsid w:val="51DA6E2E"/>
    <w:rsid w:val="51DB127B"/>
    <w:rsid w:val="51E26721"/>
    <w:rsid w:val="51E333FD"/>
    <w:rsid w:val="51EE4687"/>
    <w:rsid w:val="51EE6435"/>
    <w:rsid w:val="51EF2141"/>
    <w:rsid w:val="51FC5FF6"/>
    <w:rsid w:val="520A5D0C"/>
    <w:rsid w:val="521C7FFB"/>
    <w:rsid w:val="521D6D1B"/>
    <w:rsid w:val="522105B9"/>
    <w:rsid w:val="52211C06"/>
    <w:rsid w:val="523810E3"/>
    <w:rsid w:val="523E560F"/>
    <w:rsid w:val="523F4EE3"/>
    <w:rsid w:val="524D7600"/>
    <w:rsid w:val="52543F64"/>
    <w:rsid w:val="52566047"/>
    <w:rsid w:val="52586B36"/>
    <w:rsid w:val="525E180D"/>
    <w:rsid w:val="525F5585"/>
    <w:rsid w:val="526573CA"/>
    <w:rsid w:val="526D7CA2"/>
    <w:rsid w:val="52732934"/>
    <w:rsid w:val="5288113B"/>
    <w:rsid w:val="528D3B60"/>
    <w:rsid w:val="5291577E"/>
    <w:rsid w:val="52996165"/>
    <w:rsid w:val="52A267F8"/>
    <w:rsid w:val="52AC6214"/>
    <w:rsid w:val="52AF02BB"/>
    <w:rsid w:val="52B01601"/>
    <w:rsid w:val="52BC101B"/>
    <w:rsid w:val="52C5188C"/>
    <w:rsid w:val="52C84ED8"/>
    <w:rsid w:val="52CA1B96"/>
    <w:rsid w:val="52CE2874"/>
    <w:rsid w:val="52D10231"/>
    <w:rsid w:val="52E45DD5"/>
    <w:rsid w:val="52E837CD"/>
    <w:rsid w:val="52EC506B"/>
    <w:rsid w:val="52EC6E19"/>
    <w:rsid w:val="52F65EE9"/>
    <w:rsid w:val="52FB705C"/>
    <w:rsid w:val="530103EA"/>
    <w:rsid w:val="530152C1"/>
    <w:rsid w:val="53016F1E"/>
    <w:rsid w:val="53095C1D"/>
    <w:rsid w:val="530B3397"/>
    <w:rsid w:val="530E0C46"/>
    <w:rsid w:val="531445C2"/>
    <w:rsid w:val="531C6FD2"/>
    <w:rsid w:val="531E0F9C"/>
    <w:rsid w:val="531E5595"/>
    <w:rsid w:val="53206AC2"/>
    <w:rsid w:val="53232DF9"/>
    <w:rsid w:val="53331309"/>
    <w:rsid w:val="533C176F"/>
    <w:rsid w:val="533F163E"/>
    <w:rsid w:val="53407165"/>
    <w:rsid w:val="53410230"/>
    <w:rsid w:val="53446C55"/>
    <w:rsid w:val="53511ED4"/>
    <w:rsid w:val="53530C46"/>
    <w:rsid w:val="536015B5"/>
    <w:rsid w:val="53602551"/>
    <w:rsid w:val="53784B50"/>
    <w:rsid w:val="53807BF6"/>
    <w:rsid w:val="538E07C1"/>
    <w:rsid w:val="53996EF9"/>
    <w:rsid w:val="53A616BE"/>
    <w:rsid w:val="53B567A8"/>
    <w:rsid w:val="53BC3536"/>
    <w:rsid w:val="53BF452D"/>
    <w:rsid w:val="53C05A38"/>
    <w:rsid w:val="53C50891"/>
    <w:rsid w:val="53C75190"/>
    <w:rsid w:val="53CB6332"/>
    <w:rsid w:val="53D224B3"/>
    <w:rsid w:val="53D578AD"/>
    <w:rsid w:val="53DF24DA"/>
    <w:rsid w:val="53E61ABA"/>
    <w:rsid w:val="53E72992"/>
    <w:rsid w:val="53E93358"/>
    <w:rsid w:val="53EA4133"/>
    <w:rsid w:val="53F1220D"/>
    <w:rsid w:val="53F20441"/>
    <w:rsid w:val="54081B68"/>
    <w:rsid w:val="54090E6F"/>
    <w:rsid w:val="541C372E"/>
    <w:rsid w:val="54224ABC"/>
    <w:rsid w:val="54237A21"/>
    <w:rsid w:val="54244390"/>
    <w:rsid w:val="54271911"/>
    <w:rsid w:val="54290643"/>
    <w:rsid w:val="54345897"/>
    <w:rsid w:val="5438608E"/>
    <w:rsid w:val="543E18F6"/>
    <w:rsid w:val="545B4E1D"/>
    <w:rsid w:val="54680721"/>
    <w:rsid w:val="546A7EDF"/>
    <w:rsid w:val="547075D6"/>
    <w:rsid w:val="547A4A3B"/>
    <w:rsid w:val="548C2D30"/>
    <w:rsid w:val="54A6749B"/>
    <w:rsid w:val="54B25F8C"/>
    <w:rsid w:val="54B572A5"/>
    <w:rsid w:val="54B63603"/>
    <w:rsid w:val="54CA0898"/>
    <w:rsid w:val="54EC75A4"/>
    <w:rsid w:val="54F93DE3"/>
    <w:rsid w:val="54FA4BAF"/>
    <w:rsid w:val="54FE1085"/>
    <w:rsid w:val="550768BA"/>
    <w:rsid w:val="55165D49"/>
    <w:rsid w:val="55172984"/>
    <w:rsid w:val="552B174F"/>
    <w:rsid w:val="55345410"/>
    <w:rsid w:val="553625CD"/>
    <w:rsid w:val="55376407"/>
    <w:rsid w:val="553E5926"/>
    <w:rsid w:val="554560BD"/>
    <w:rsid w:val="554747DA"/>
    <w:rsid w:val="554A3BBB"/>
    <w:rsid w:val="554E3DBB"/>
    <w:rsid w:val="555875A6"/>
    <w:rsid w:val="55651104"/>
    <w:rsid w:val="556A2277"/>
    <w:rsid w:val="55793840"/>
    <w:rsid w:val="557E4A98"/>
    <w:rsid w:val="557F5BB9"/>
    <w:rsid w:val="55805F3E"/>
    <w:rsid w:val="558A3D0F"/>
    <w:rsid w:val="558E065B"/>
    <w:rsid w:val="55946D5D"/>
    <w:rsid w:val="55993B5F"/>
    <w:rsid w:val="55A27186"/>
    <w:rsid w:val="55B774E6"/>
    <w:rsid w:val="55BA1450"/>
    <w:rsid w:val="55BB6815"/>
    <w:rsid w:val="55C71477"/>
    <w:rsid w:val="55CC4075"/>
    <w:rsid w:val="55FA72D0"/>
    <w:rsid w:val="55FF6A5A"/>
    <w:rsid w:val="56024BA5"/>
    <w:rsid w:val="56044479"/>
    <w:rsid w:val="560501F2"/>
    <w:rsid w:val="56095F34"/>
    <w:rsid w:val="560A3631"/>
    <w:rsid w:val="560E52F8"/>
    <w:rsid w:val="561548D9"/>
    <w:rsid w:val="56171F8D"/>
    <w:rsid w:val="561A18FD"/>
    <w:rsid w:val="561C5C67"/>
    <w:rsid w:val="561D142F"/>
    <w:rsid w:val="561F12B3"/>
    <w:rsid w:val="561F3061"/>
    <w:rsid w:val="562717CA"/>
    <w:rsid w:val="562C39D0"/>
    <w:rsid w:val="56312BE6"/>
    <w:rsid w:val="56446F6C"/>
    <w:rsid w:val="564477C4"/>
    <w:rsid w:val="56454777"/>
    <w:rsid w:val="5647080A"/>
    <w:rsid w:val="564B02FA"/>
    <w:rsid w:val="564D4072"/>
    <w:rsid w:val="5663282D"/>
    <w:rsid w:val="5664316A"/>
    <w:rsid w:val="566C201F"/>
    <w:rsid w:val="567C4958"/>
    <w:rsid w:val="56833BE7"/>
    <w:rsid w:val="568A2D97"/>
    <w:rsid w:val="568D0913"/>
    <w:rsid w:val="56A278F7"/>
    <w:rsid w:val="56B45E9F"/>
    <w:rsid w:val="56B55774"/>
    <w:rsid w:val="56BD287A"/>
    <w:rsid w:val="56D04374"/>
    <w:rsid w:val="56E10C5F"/>
    <w:rsid w:val="56E62F5B"/>
    <w:rsid w:val="56E66275"/>
    <w:rsid w:val="56E85E23"/>
    <w:rsid w:val="56E94B14"/>
    <w:rsid w:val="56EF42BA"/>
    <w:rsid w:val="56F75D8C"/>
    <w:rsid w:val="570B1838"/>
    <w:rsid w:val="571526B6"/>
    <w:rsid w:val="57171D4C"/>
    <w:rsid w:val="571D30A9"/>
    <w:rsid w:val="572648C3"/>
    <w:rsid w:val="572F455A"/>
    <w:rsid w:val="57350276"/>
    <w:rsid w:val="573A6A70"/>
    <w:rsid w:val="57411857"/>
    <w:rsid w:val="574B73B9"/>
    <w:rsid w:val="575256B8"/>
    <w:rsid w:val="57574A7D"/>
    <w:rsid w:val="575A2877"/>
    <w:rsid w:val="575E7CE2"/>
    <w:rsid w:val="57671164"/>
    <w:rsid w:val="576A26F1"/>
    <w:rsid w:val="576D24F2"/>
    <w:rsid w:val="576D604E"/>
    <w:rsid w:val="577473DD"/>
    <w:rsid w:val="57831D16"/>
    <w:rsid w:val="57A01A2F"/>
    <w:rsid w:val="57B31183"/>
    <w:rsid w:val="57B43C7D"/>
    <w:rsid w:val="57BA3FF9"/>
    <w:rsid w:val="57BE1FBB"/>
    <w:rsid w:val="57C1714B"/>
    <w:rsid w:val="57C57CEE"/>
    <w:rsid w:val="57C9250E"/>
    <w:rsid w:val="57CF2865"/>
    <w:rsid w:val="57D450BC"/>
    <w:rsid w:val="57E91B79"/>
    <w:rsid w:val="57E97DCB"/>
    <w:rsid w:val="58086695"/>
    <w:rsid w:val="580B6F57"/>
    <w:rsid w:val="58156E12"/>
    <w:rsid w:val="581F2C5E"/>
    <w:rsid w:val="58221EB0"/>
    <w:rsid w:val="582232DD"/>
    <w:rsid w:val="58324CA0"/>
    <w:rsid w:val="58380B65"/>
    <w:rsid w:val="583A76A4"/>
    <w:rsid w:val="583B614D"/>
    <w:rsid w:val="583C439E"/>
    <w:rsid w:val="58457066"/>
    <w:rsid w:val="58493930"/>
    <w:rsid w:val="584C2108"/>
    <w:rsid w:val="586631C9"/>
    <w:rsid w:val="58711B6E"/>
    <w:rsid w:val="588418A2"/>
    <w:rsid w:val="5887380C"/>
    <w:rsid w:val="58912DE6"/>
    <w:rsid w:val="589350FF"/>
    <w:rsid w:val="589A3F2C"/>
    <w:rsid w:val="58AB0C46"/>
    <w:rsid w:val="58B02697"/>
    <w:rsid w:val="58B73A25"/>
    <w:rsid w:val="58CB74D0"/>
    <w:rsid w:val="58CD3249"/>
    <w:rsid w:val="58CF5213"/>
    <w:rsid w:val="58D833AC"/>
    <w:rsid w:val="58D8399B"/>
    <w:rsid w:val="58DC4A21"/>
    <w:rsid w:val="58DF5560"/>
    <w:rsid w:val="58EF7AF7"/>
    <w:rsid w:val="58FC3B2E"/>
    <w:rsid w:val="59131E85"/>
    <w:rsid w:val="59223718"/>
    <w:rsid w:val="592E180D"/>
    <w:rsid w:val="593212FE"/>
    <w:rsid w:val="593E7CA2"/>
    <w:rsid w:val="59462FFB"/>
    <w:rsid w:val="596D67DA"/>
    <w:rsid w:val="59797D5C"/>
    <w:rsid w:val="597E09E7"/>
    <w:rsid w:val="5989082C"/>
    <w:rsid w:val="598B3D4E"/>
    <w:rsid w:val="598D6CB1"/>
    <w:rsid w:val="598F2D76"/>
    <w:rsid w:val="5991071A"/>
    <w:rsid w:val="5994399B"/>
    <w:rsid w:val="59947164"/>
    <w:rsid w:val="5999140E"/>
    <w:rsid w:val="599C2C1B"/>
    <w:rsid w:val="59BE5287"/>
    <w:rsid w:val="59C75EEA"/>
    <w:rsid w:val="59D419F6"/>
    <w:rsid w:val="59E20F76"/>
    <w:rsid w:val="59F14D15"/>
    <w:rsid w:val="59F40CA9"/>
    <w:rsid w:val="5A094754"/>
    <w:rsid w:val="5A0A04D2"/>
    <w:rsid w:val="5A1B4488"/>
    <w:rsid w:val="5A1B7FA4"/>
    <w:rsid w:val="5A266B74"/>
    <w:rsid w:val="5A366EFF"/>
    <w:rsid w:val="5A454433"/>
    <w:rsid w:val="5A4C4641"/>
    <w:rsid w:val="5A573022"/>
    <w:rsid w:val="5A663D4D"/>
    <w:rsid w:val="5A685F6A"/>
    <w:rsid w:val="5A6C3E8C"/>
    <w:rsid w:val="5A731BCE"/>
    <w:rsid w:val="5A7352CD"/>
    <w:rsid w:val="5A753B8D"/>
    <w:rsid w:val="5A8156AB"/>
    <w:rsid w:val="5A8C2A68"/>
    <w:rsid w:val="5A90452E"/>
    <w:rsid w:val="5A9102A6"/>
    <w:rsid w:val="5A92474A"/>
    <w:rsid w:val="5A937C42"/>
    <w:rsid w:val="5A9F29C3"/>
    <w:rsid w:val="5AB134EC"/>
    <w:rsid w:val="5ABF12B7"/>
    <w:rsid w:val="5AC60E9B"/>
    <w:rsid w:val="5ACE5056"/>
    <w:rsid w:val="5ADD240D"/>
    <w:rsid w:val="5AE37FEF"/>
    <w:rsid w:val="5AE623A0"/>
    <w:rsid w:val="5AEB6C7B"/>
    <w:rsid w:val="5AF54CD9"/>
    <w:rsid w:val="5AF80325"/>
    <w:rsid w:val="5B030AA6"/>
    <w:rsid w:val="5B0B44FC"/>
    <w:rsid w:val="5B1647AE"/>
    <w:rsid w:val="5B174FD8"/>
    <w:rsid w:val="5B1A64ED"/>
    <w:rsid w:val="5B393A26"/>
    <w:rsid w:val="5B3B4CF0"/>
    <w:rsid w:val="5B4A5024"/>
    <w:rsid w:val="5B4F6A8E"/>
    <w:rsid w:val="5B61137A"/>
    <w:rsid w:val="5B791466"/>
    <w:rsid w:val="5B797C0D"/>
    <w:rsid w:val="5B7B7072"/>
    <w:rsid w:val="5B7E095D"/>
    <w:rsid w:val="5B7F45A2"/>
    <w:rsid w:val="5B871DD5"/>
    <w:rsid w:val="5B880F13"/>
    <w:rsid w:val="5B8F52E6"/>
    <w:rsid w:val="5B914A01"/>
    <w:rsid w:val="5B931E11"/>
    <w:rsid w:val="5B933428"/>
    <w:rsid w:val="5BB4249E"/>
    <w:rsid w:val="5BB57FC4"/>
    <w:rsid w:val="5BBA46B0"/>
    <w:rsid w:val="5BBC3A3A"/>
    <w:rsid w:val="5BBC75A4"/>
    <w:rsid w:val="5BC00E43"/>
    <w:rsid w:val="5BC22E0D"/>
    <w:rsid w:val="5BC30933"/>
    <w:rsid w:val="5BC546AB"/>
    <w:rsid w:val="5BCC3C8B"/>
    <w:rsid w:val="5BCD474F"/>
    <w:rsid w:val="5BD82630"/>
    <w:rsid w:val="5BD963A8"/>
    <w:rsid w:val="5BDD0CCB"/>
    <w:rsid w:val="5BDE451D"/>
    <w:rsid w:val="5BE663CF"/>
    <w:rsid w:val="5BEA1D93"/>
    <w:rsid w:val="5BF40AEC"/>
    <w:rsid w:val="5BF60D08"/>
    <w:rsid w:val="5C086EE6"/>
    <w:rsid w:val="5C0C4088"/>
    <w:rsid w:val="5C0F3B78"/>
    <w:rsid w:val="5C164868"/>
    <w:rsid w:val="5C1B2F8F"/>
    <w:rsid w:val="5C207B33"/>
    <w:rsid w:val="5C245024"/>
    <w:rsid w:val="5C2A3AF8"/>
    <w:rsid w:val="5C335AB8"/>
    <w:rsid w:val="5C3830CF"/>
    <w:rsid w:val="5C393517"/>
    <w:rsid w:val="5C3E620B"/>
    <w:rsid w:val="5C4E46A0"/>
    <w:rsid w:val="5C4F686E"/>
    <w:rsid w:val="5C594DF3"/>
    <w:rsid w:val="5C633E69"/>
    <w:rsid w:val="5C6A0DAE"/>
    <w:rsid w:val="5C7560D1"/>
    <w:rsid w:val="5C76583E"/>
    <w:rsid w:val="5C86208C"/>
    <w:rsid w:val="5C9347A9"/>
    <w:rsid w:val="5CA0425E"/>
    <w:rsid w:val="5CA82260"/>
    <w:rsid w:val="5CAD5C25"/>
    <w:rsid w:val="5CB422BC"/>
    <w:rsid w:val="5CB55997"/>
    <w:rsid w:val="5CBB2094"/>
    <w:rsid w:val="5CBB7D0E"/>
    <w:rsid w:val="5CC443A4"/>
    <w:rsid w:val="5CE2128D"/>
    <w:rsid w:val="5CEC5C67"/>
    <w:rsid w:val="5CF24FA7"/>
    <w:rsid w:val="5CF36FF6"/>
    <w:rsid w:val="5CFC234E"/>
    <w:rsid w:val="5D00339C"/>
    <w:rsid w:val="5D0561CA"/>
    <w:rsid w:val="5D07484F"/>
    <w:rsid w:val="5D145966"/>
    <w:rsid w:val="5D174F77"/>
    <w:rsid w:val="5D351552"/>
    <w:rsid w:val="5D3758BD"/>
    <w:rsid w:val="5D4123C3"/>
    <w:rsid w:val="5D424D21"/>
    <w:rsid w:val="5D4849C3"/>
    <w:rsid w:val="5D4A7F85"/>
    <w:rsid w:val="5D731EE5"/>
    <w:rsid w:val="5D7A0701"/>
    <w:rsid w:val="5D7A7717"/>
    <w:rsid w:val="5D7F0BBB"/>
    <w:rsid w:val="5D8B4B95"/>
    <w:rsid w:val="5DAA1DAA"/>
    <w:rsid w:val="5DAD3649"/>
    <w:rsid w:val="5DB37135"/>
    <w:rsid w:val="5DB466F3"/>
    <w:rsid w:val="5DBB3FB7"/>
    <w:rsid w:val="5DC01631"/>
    <w:rsid w:val="5DC50992"/>
    <w:rsid w:val="5DCC3845"/>
    <w:rsid w:val="5DCD0F2A"/>
    <w:rsid w:val="5DD21301"/>
    <w:rsid w:val="5DDE3694"/>
    <w:rsid w:val="5DE8780B"/>
    <w:rsid w:val="5DF272AD"/>
    <w:rsid w:val="5DF64FF0"/>
    <w:rsid w:val="5E096739"/>
    <w:rsid w:val="5E0A45F7"/>
    <w:rsid w:val="5E291817"/>
    <w:rsid w:val="5E306AE0"/>
    <w:rsid w:val="5E316028"/>
    <w:rsid w:val="5E357041"/>
    <w:rsid w:val="5E385682"/>
    <w:rsid w:val="5E3922A0"/>
    <w:rsid w:val="5E39312E"/>
    <w:rsid w:val="5E3A1DFD"/>
    <w:rsid w:val="5E431B60"/>
    <w:rsid w:val="5E437B09"/>
    <w:rsid w:val="5E510478"/>
    <w:rsid w:val="5E543AC4"/>
    <w:rsid w:val="5E581806"/>
    <w:rsid w:val="5E72745B"/>
    <w:rsid w:val="5E7423B8"/>
    <w:rsid w:val="5E7637A2"/>
    <w:rsid w:val="5E7F2E53"/>
    <w:rsid w:val="5E8D7089"/>
    <w:rsid w:val="5E986FC4"/>
    <w:rsid w:val="5E9B7945"/>
    <w:rsid w:val="5EB06868"/>
    <w:rsid w:val="5EB6652D"/>
    <w:rsid w:val="5EBE2451"/>
    <w:rsid w:val="5EC21BA8"/>
    <w:rsid w:val="5EC23B82"/>
    <w:rsid w:val="5ECF75EF"/>
    <w:rsid w:val="5ED05841"/>
    <w:rsid w:val="5ED574D6"/>
    <w:rsid w:val="5ED62298"/>
    <w:rsid w:val="5ED7793D"/>
    <w:rsid w:val="5EDA046D"/>
    <w:rsid w:val="5EDE3A37"/>
    <w:rsid w:val="5EE237C6"/>
    <w:rsid w:val="5EE4309A"/>
    <w:rsid w:val="5EFD7540"/>
    <w:rsid w:val="5EFF04E0"/>
    <w:rsid w:val="5F0F67CA"/>
    <w:rsid w:val="5F103E8F"/>
    <w:rsid w:val="5F112EF2"/>
    <w:rsid w:val="5F151B63"/>
    <w:rsid w:val="5F1818BC"/>
    <w:rsid w:val="5F2109CB"/>
    <w:rsid w:val="5F2142EE"/>
    <w:rsid w:val="5F21731E"/>
    <w:rsid w:val="5F2D4A41"/>
    <w:rsid w:val="5F36141C"/>
    <w:rsid w:val="5F3759A0"/>
    <w:rsid w:val="5F385194"/>
    <w:rsid w:val="5F42393F"/>
    <w:rsid w:val="5F4E2463"/>
    <w:rsid w:val="5F507C8C"/>
    <w:rsid w:val="5F7F7267"/>
    <w:rsid w:val="5F814D8D"/>
    <w:rsid w:val="5FAB292D"/>
    <w:rsid w:val="5FBB029F"/>
    <w:rsid w:val="5FBF40EC"/>
    <w:rsid w:val="5FBF7663"/>
    <w:rsid w:val="5FC166F7"/>
    <w:rsid w:val="5FD06859"/>
    <w:rsid w:val="5FD41360"/>
    <w:rsid w:val="5FDE5E00"/>
    <w:rsid w:val="5FE5034F"/>
    <w:rsid w:val="5FE532BE"/>
    <w:rsid w:val="5FE61B61"/>
    <w:rsid w:val="5FEF1CF6"/>
    <w:rsid w:val="5FF05A6E"/>
    <w:rsid w:val="5FF26528"/>
    <w:rsid w:val="5FFC31E6"/>
    <w:rsid w:val="60033C5A"/>
    <w:rsid w:val="6005151A"/>
    <w:rsid w:val="600B4656"/>
    <w:rsid w:val="600C0E09"/>
    <w:rsid w:val="60182CB2"/>
    <w:rsid w:val="601B39E6"/>
    <w:rsid w:val="601F0D34"/>
    <w:rsid w:val="603154C1"/>
    <w:rsid w:val="60340051"/>
    <w:rsid w:val="60384C08"/>
    <w:rsid w:val="603B1BA0"/>
    <w:rsid w:val="60432EC3"/>
    <w:rsid w:val="604A3672"/>
    <w:rsid w:val="6056529F"/>
    <w:rsid w:val="605D6047"/>
    <w:rsid w:val="60646A17"/>
    <w:rsid w:val="60662C46"/>
    <w:rsid w:val="60747697"/>
    <w:rsid w:val="60771CCC"/>
    <w:rsid w:val="60791F08"/>
    <w:rsid w:val="60837432"/>
    <w:rsid w:val="60911000"/>
    <w:rsid w:val="609B1F83"/>
    <w:rsid w:val="60A96C40"/>
    <w:rsid w:val="60C40CF9"/>
    <w:rsid w:val="60C82547"/>
    <w:rsid w:val="60CA62C0"/>
    <w:rsid w:val="60D378F4"/>
    <w:rsid w:val="60D85877"/>
    <w:rsid w:val="60DA7E9E"/>
    <w:rsid w:val="60DC5EF8"/>
    <w:rsid w:val="60DE4400"/>
    <w:rsid w:val="6109328C"/>
    <w:rsid w:val="610A2B60"/>
    <w:rsid w:val="61113EEE"/>
    <w:rsid w:val="61131A15"/>
    <w:rsid w:val="61167757"/>
    <w:rsid w:val="611B42CF"/>
    <w:rsid w:val="611E1FFD"/>
    <w:rsid w:val="612105D5"/>
    <w:rsid w:val="61227DCC"/>
    <w:rsid w:val="61273712"/>
    <w:rsid w:val="61314591"/>
    <w:rsid w:val="6134565C"/>
    <w:rsid w:val="61371BA7"/>
    <w:rsid w:val="61390689"/>
    <w:rsid w:val="614E0C9F"/>
    <w:rsid w:val="615A4C87"/>
    <w:rsid w:val="615A7C52"/>
    <w:rsid w:val="615F4C11"/>
    <w:rsid w:val="616730DD"/>
    <w:rsid w:val="61693D2A"/>
    <w:rsid w:val="61725814"/>
    <w:rsid w:val="617D0B80"/>
    <w:rsid w:val="618039E3"/>
    <w:rsid w:val="61827C5F"/>
    <w:rsid w:val="618B3CA1"/>
    <w:rsid w:val="61922F7C"/>
    <w:rsid w:val="619744EC"/>
    <w:rsid w:val="61A62889"/>
    <w:rsid w:val="61B52ACC"/>
    <w:rsid w:val="61C24376"/>
    <w:rsid w:val="61CD6067"/>
    <w:rsid w:val="61D02457"/>
    <w:rsid w:val="61D171AC"/>
    <w:rsid w:val="61D456A0"/>
    <w:rsid w:val="61D513C0"/>
    <w:rsid w:val="61D604A4"/>
    <w:rsid w:val="61D9227F"/>
    <w:rsid w:val="61E22AF3"/>
    <w:rsid w:val="61E41603"/>
    <w:rsid w:val="61ED04B8"/>
    <w:rsid w:val="61F51F86"/>
    <w:rsid w:val="61F54DD8"/>
    <w:rsid w:val="61F555BE"/>
    <w:rsid w:val="61F5736C"/>
    <w:rsid w:val="61FE4473"/>
    <w:rsid w:val="61FF01EB"/>
    <w:rsid w:val="61FF1A7E"/>
    <w:rsid w:val="620B4DE2"/>
    <w:rsid w:val="620F051B"/>
    <w:rsid w:val="620F6680"/>
    <w:rsid w:val="62195745"/>
    <w:rsid w:val="62195750"/>
    <w:rsid w:val="6221571E"/>
    <w:rsid w:val="62261C1B"/>
    <w:rsid w:val="62290FDB"/>
    <w:rsid w:val="622D6B06"/>
    <w:rsid w:val="622E33B7"/>
    <w:rsid w:val="62397BA1"/>
    <w:rsid w:val="624606A8"/>
    <w:rsid w:val="62467BC8"/>
    <w:rsid w:val="62537680"/>
    <w:rsid w:val="626B4A1B"/>
    <w:rsid w:val="626F4087"/>
    <w:rsid w:val="6271733B"/>
    <w:rsid w:val="62741A3C"/>
    <w:rsid w:val="627451F6"/>
    <w:rsid w:val="62854B94"/>
    <w:rsid w:val="628614E8"/>
    <w:rsid w:val="628814F5"/>
    <w:rsid w:val="6291193B"/>
    <w:rsid w:val="62950B81"/>
    <w:rsid w:val="629848C7"/>
    <w:rsid w:val="629D3767"/>
    <w:rsid w:val="629E17B2"/>
    <w:rsid w:val="62A82D70"/>
    <w:rsid w:val="62A9779B"/>
    <w:rsid w:val="62C11800"/>
    <w:rsid w:val="62C519E5"/>
    <w:rsid w:val="62C53A4A"/>
    <w:rsid w:val="62DB2A06"/>
    <w:rsid w:val="62E66622"/>
    <w:rsid w:val="62F83658"/>
    <w:rsid w:val="62FD2173"/>
    <w:rsid w:val="63017CB0"/>
    <w:rsid w:val="630E06E5"/>
    <w:rsid w:val="63135A08"/>
    <w:rsid w:val="631559B8"/>
    <w:rsid w:val="631C3BB3"/>
    <w:rsid w:val="631F1899"/>
    <w:rsid w:val="632A703B"/>
    <w:rsid w:val="63346429"/>
    <w:rsid w:val="63373285"/>
    <w:rsid w:val="63387E58"/>
    <w:rsid w:val="635069FF"/>
    <w:rsid w:val="635D341B"/>
    <w:rsid w:val="636724EC"/>
    <w:rsid w:val="63687C33"/>
    <w:rsid w:val="63690012"/>
    <w:rsid w:val="636A6790"/>
    <w:rsid w:val="637013A0"/>
    <w:rsid w:val="63723F5D"/>
    <w:rsid w:val="63732C3E"/>
    <w:rsid w:val="63740607"/>
    <w:rsid w:val="637C22AB"/>
    <w:rsid w:val="637E2370"/>
    <w:rsid w:val="6381535B"/>
    <w:rsid w:val="638B442C"/>
    <w:rsid w:val="638E5CCA"/>
    <w:rsid w:val="63974B7F"/>
    <w:rsid w:val="639A6F91"/>
    <w:rsid w:val="639D0EB8"/>
    <w:rsid w:val="63AD6150"/>
    <w:rsid w:val="63C147C6"/>
    <w:rsid w:val="63C35930"/>
    <w:rsid w:val="63CC234F"/>
    <w:rsid w:val="63D63F11"/>
    <w:rsid w:val="63EF49BB"/>
    <w:rsid w:val="63F35B2D"/>
    <w:rsid w:val="63F4655B"/>
    <w:rsid w:val="63FB48A3"/>
    <w:rsid w:val="64191A38"/>
    <w:rsid w:val="641A46B3"/>
    <w:rsid w:val="641A725D"/>
    <w:rsid w:val="641E0DFC"/>
    <w:rsid w:val="641E6213"/>
    <w:rsid w:val="6422492C"/>
    <w:rsid w:val="64382184"/>
    <w:rsid w:val="643F0D73"/>
    <w:rsid w:val="64401B20"/>
    <w:rsid w:val="644A63F8"/>
    <w:rsid w:val="644F7208"/>
    <w:rsid w:val="6460084F"/>
    <w:rsid w:val="64654C7D"/>
    <w:rsid w:val="64737D90"/>
    <w:rsid w:val="649872B3"/>
    <w:rsid w:val="64A81A5B"/>
    <w:rsid w:val="64A9528B"/>
    <w:rsid w:val="64AF414A"/>
    <w:rsid w:val="64C5571C"/>
    <w:rsid w:val="64C97B36"/>
    <w:rsid w:val="64D30F5B"/>
    <w:rsid w:val="64D616D7"/>
    <w:rsid w:val="64D8544F"/>
    <w:rsid w:val="64D911C7"/>
    <w:rsid w:val="64DF335C"/>
    <w:rsid w:val="64ED3015"/>
    <w:rsid w:val="64F21C3A"/>
    <w:rsid w:val="65083978"/>
    <w:rsid w:val="6509385A"/>
    <w:rsid w:val="650B4F5C"/>
    <w:rsid w:val="651334A0"/>
    <w:rsid w:val="65206DF6"/>
    <w:rsid w:val="65220D44"/>
    <w:rsid w:val="6522418C"/>
    <w:rsid w:val="652363B0"/>
    <w:rsid w:val="6530528B"/>
    <w:rsid w:val="6531220E"/>
    <w:rsid w:val="65342D66"/>
    <w:rsid w:val="65366619"/>
    <w:rsid w:val="653A4394"/>
    <w:rsid w:val="654523B9"/>
    <w:rsid w:val="65515201"/>
    <w:rsid w:val="655A2308"/>
    <w:rsid w:val="655B398A"/>
    <w:rsid w:val="65623F20"/>
    <w:rsid w:val="65640615"/>
    <w:rsid w:val="65652327"/>
    <w:rsid w:val="65655B56"/>
    <w:rsid w:val="65785296"/>
    <w:rsid w:val="657C3E96"/>
    <w:rsid w:val="657E016D"/>
    <w:rsid w:val="658253BB"/>
    <w:rsid w:val="65841133"/>
    <w:rsid w:val="659751BC"/>
    <w:rsid w:val="659A6BA8"/>
    <w:rsid w:val="65A45331"/>
    <w:rsid w:val="65B21D15"/>
    <w:rsid w:val="65B55790"/>
    <w:rsid w:val="65BB7B8B"/>
    <w:rsid w:val="65C502FA"/>
    <w:rsid w:val="65D04378"/>
    <w:rsid w:val="65D230DF"/>
    <w:rsid w:val="65DC0F6F"/>
    <w:rsid w:val="65E2398C"/>
    <w:rsid w:val="65E41BD1"/>
    <w:rsid w:val="65E63B9C"/>
    <w:rsid w:val="65ED4F2A"/>
    <w:rsid w:val="65EE01D9"/>
    <w:rsid w:val="660D2ED6"/>
    <w:rsid w:val="6618187B"/>
    <w:rsid w:val="66252916"/>
    <w:rsid w:val="662F5A11"/>
    <w:rsid w:val="664E01DA"/>
    <w:rsid w:val="665B6338"/>
    <w:rsid w:val="666146B1"/>
    <w:rsid w:val="66665F72"/>
    <w:rsid w:val="66723A70"/>
    <w:rsid w:val="66777023"/>
    <w:rsid w:val="667A3B0B"/>
    <w:rsid w:val="668A4527"/>
    <w:rsid w:val="6699160F"/>
    <w:rsid w:val="669A23E9"/>
    <w:rsid w:val="669C24AC"/>
    <w:rsid w:val="66A350E4"/>
    <w:rsid w:val="66A355E9"/>
    <w:rsid w:val="66AF3F8D"/>
    <w:rsid w:val="66BD28C8"/>
    <w:rsid w:val="66C2677C"/>
    <w:rsid w:val="66D460EA"/>
    <w:rsid w:val="66E700FA"/>
    <w:rsid w:val="66EB4457"/>
    <w:rsid w:val="66F26570"/>
    <w:rsid w:val="66F411B8"/>
    <w:rsid w:val="6706285B"/>
    <w:rsid w:val="67112C45"/>
    <w:rsid w:val="67334BBF"/>
    <w:rsid w:val="6739689E"/>
    <w:rsid w:val="673B3A73"/>
    <w:rsid w:val="673B7F17"/>
    <w:rsid w:val="673E49A4"/>
    <w:rsid w:val="675D317E"/>
    <w:rsid w:val="676A70F8"/>
    <w:rsid w:val="677671A1"/>
    <w:rsid w:val="67792A7E"/>
    <w:rsid w:val="677D7F8A"/>
    <w:rsid w:val="6782766E"/>
    <w:rsid w:val="678278F4"/>
    <w:rsid w:val="678C0838"/>
    <w:rsid w:val="67966EFB"/>
    <w:rsid w:val="679B4282"/>
    <w:rsid w:val="67A21D44"/>
    <w:rsid w:val="67A41E05"/>
    <w:rsid w:val="67A7735B"/>
    <w:rsid w:val="67A930D3"/>
    <w:rsid w:val="67B51A77"/>
    <w:rsid w:val="67B6134C"/>
    <w:rsid w:val="67B80BA6"/>
    <w:rsid w:val="67B83316"/>
    <w:rsid w:val="67B916A8"/>
    <w:rsid w:val="67CA2FE5"/>
    <w:rsid w:val="67EA09A5"/>
    <w:rsid w:val="67F105D6"/>
    <w:rsid w:val="67F8525D"/>
    <w:rsid w:val="67F90D28"/>
    <w:rsid w:val="67FB3202"/>
    <w:rsid w:val="68023643"/>
    <w:rsid w:val="68062FD3"/>
    <w:rsid w:val="680663EE"/>
    <w:rsid w:val="680840F8"/>
    <w:rsid w:val="680937FE"/>
    <w:rsid w:val="6809591F"/>
    <w:rsid w:val="68182006"/>
    <w:rsid w:val="68196C9E"/>
    <w:rsid w:val="681A1DB6"/>
    <w:rsid w:val="68212C69"/>
    <w:rsid w:val="682E182A"/>
    <w:rsid w:val="68332C5A"/>
    <w:rsid w:val="68334CFF"/>
    <w:rsid w:val="6836095C"/>
    <w:rsid w:val="683F3A37"/>
    <w:rsid w:val="68402B77"/>
    <w:rsid w:val="68410921"/>
    <w:rsid w:val="6843308F"/>
    <w:rsid w:val="68440261"/>
    <w:rsid w:val="685017A0"/>
    <w:rsid w:val="686E6466"/>
    <w:rsid w:val="68703BF0"/>
    <w:rsid w:val="687150F2"/>
    <w:rsid w:val="68834127"/>
    <w:rsid w:val="68866AF9"/>
    <w:rsid w:val="68953F0F"/>
    <w:rsid w:val="68A5389A"/>
    <w:rsid w:val="68A7000C"/>
    <w:rsid w:val="68AA5354"/>
    <w:rsid w:val="68B735CD"/>
    <w:rsid w:val="68C43F6B"/>
    <w:rsid w:val="68C94BCC"/>
    <w:rsid w:val="68D4620D"/>
    <w:rsid w:val="68DE2A8D"/>
    <w:rsid w:val="68DF7E58"/>
    <w:rsid w:val="68FA1EBC"/>
    <w:rsid w:val="68FD09F7"/>
    <w:rsid w:val="68FD29F8"/>
    <w:rsid w:val="68FE11FC"/>
    <w:rsid w:val="69012A9A"/>
    <w:rsid w:val="69051609"/>
    <w:rsid w:val="69054339"/>
    <w:rsid w:val="690D25FD"/>
    <w:rsid w:val="690F3409"/>
    <w:rsid w:val="691B1DAE"/>
    <w:rsid w:val="691F4745"/>
    <w:rsid w:val="69247985"/>
    <w:rsid w:val="692C7B17"/>
    <w:rsid w:val="692F2D98"/>
    <w:rsid w:val="693425D8"/>
    <w:rsid w:val="6938159B"/>
    <w:rsid w:val="69382960"/>
    <w:rsid w:val="693B5F6F"/>
    <w:rsid w:val="6942733B"/>
    <w:rsid w:val="695C6BA2"/>
    <w:rsid w:val="697F37B9"/>
    <w:rsid w:val="69865D5F"/>
    <w:rsid w:val="69965A85"/>
    <w:rsid w:val="69A51678"/>
    <w:rsid w:val="69A74ED5"/>
    <w:rsid w:val="69B33D95"/>
    <w:rsid w:val="69C523DE"/>
    <w:rsid w:val="69CE5072"/>
    <w:rsid w:val="69D00DEB"/>
    <w:rsid w:val="69D660FE"/>
    <w:rsid w:val="69DB153D"/>
    <w:rsid w:val="69EB79D2"/>
    <w:rsid w:val="69EF45F8"/>
    <w:rsid w:val="69F03D75"/>
    <w:rsid w:val="69F745C9"/>
    <w:rsid w:val="6A0039ED"/>
    <w:rsid w:val="6A026ACA"/>
    <w:rsid w:val="6A0B1E23"/>
    <w:rsid w:val="6A147B8F"/>
    <w:rsid w:val="6A1567FD"/>
    <w:rsid w:val="6A162576"/>
    <w:rsid w:val="6A1D3904"/>
    <w:rsid w:val="6A303637"/>
    <w:rsid w:val="6A5C267E"/>
    <w:rsid w:val="6A613CBF"/>
    <w:rsid w:val="6A641CE7"/>
    <w:rsid w:val="6A6C0337"/>
    <w:rsid w:val="6A6D6639"/>
    <w:rsid w:val="6A731776"/>
    <w:rsid w:val="6A75729C"/>
    <w:rsid w:val="6A855A86"/>
    <w:rsid w:val="6A877632"/>
    <w:rsid w:val="6A8F4836"/>
    <w:rsid w:val="6AA45DD3"/>
    <w:rsid w:val="6AA96B97"/>
    <w:rsid w:val="6AB1295D"/>
    <w:rsid w:val="6ABA55F7"/>
    <w:rsid w:val="6AC124E1"/>
    <w:rsid w:val="6AC6059B"/>
    <w:rsid w:val="6AC845E8"/>
    <w:rsid w:val="6ACD1F90"/>
    <w:rsid w:val="6AD40467"/>
    <w:rsid w:val="6AD71D05"/>
    <w:rsid w:val="6AE21E3A"/>
    <w:rsid w:val="6AF24D1A"/>
    <w:rsid w:val="6AF547BD"/>
    <w:rsid w:val="6AF9611F"/>
    <w:rsid w:val="6AFA7A5B"/>
    <w:rsid w:val="6B1E69F2"/>
    <w:rsid w:val="6B234F4A"/>
    <w:rsid w:val="6B276170"/>
    <w:rsid w:val="6B2C440C"/>
    <w:rsid w:val="6B462B43"/>
    <w:rsid w:val="6B58583D"/>
    <w:rsid w:val="6B704CFE"/>
    <w:rsid w:val="6B7C2689"/>
    <w:rsid w:val="6B811C71"/>
    <w:rsid w:val="6B824366"/>
    <w:rsid w:val="6B826114"/>
    <w:rsid w:val="6B855B29"/>
    <w:rsid w:val="6B8B77E1"/>
    <w:rsid w:val="6B940A4D"/>
    <w:rsid w:val="6B9E0765"/>
    <w:rsid w:val="6BA75B7B"/>
    <w:rsid w:val="6BB107A8"/>
    <w:rsid w:val="6BB34520"/>
    <w:rsid w:val="6BB943CF"/>
    <w:rsid w:val="6BBB33D4"/>
    <w:rsid w:val="6BCC7390"/>
    <w:rsid w:val="6BE209F2"/>
    <w:rsid w:val="6BE718BA"/>
    <w:rsid w:val="6BE95385"/>
    <w:rsid w:val="6BEC17E0"/>
    <w:rsid w:val="6BEE37AA"/>
    <w:rsid w:val="6BEF2BFB"/>
    <w:rsid w:val="6BF84614"/>
    <w:rsid w:val="6C04785D"/>
    <w:rsid w:val="6C0E5BFA"/>
    <w:rsid w:val="6C21592D"/>
    <w:rsid w:val="6C225202"/>
    <w:rsid w:val="6C262F44"/>
    <w:rsid w:val="6C3311BD"/>
    <w:rsid w:val="6C4052C6"/>
    <w:rsid w:val="6C40706B"/>
    <w:rsid w:val="6C471072"/>
    <w:rsid w:val="6C4A6B4F"/>
    <w:rsid w:val="6C57134F"/>
    <w:rsid w:val="6C5C6966"/>
    <w:rsid w:val="6C664EB8"/>
    <w:rsid w:val="6C6A112D"/>
    <w:rsid w:val="6C77379F"/>
    <w:rsid w:val="6C7A166D"/>
    <w:rsid w:val="6C8E5BF3"/>
    <w:rsid w:val="6CA34594"/>
    <w:rsid w:val="6CAE64B5"/>
    <w:rsid w:val="6CB202B7"/>
    <w:rsid w:val="6CB467A2"/>
    <w:rsid w:val="6CD04C5E"/>
    <w:rsid w:val="6CD22A10"/>
    <w:rsid w:val="6CD40BF2"/>
    <w:rsid w:val="6CDA788A"/>
    <w:rsid w:val="6CE4695B"/>
    <w:rsid w:val="6CE626D3"/>
    <w:rsid w:val="6CE65416"/>
    <w:rsid w:val="6D093981"/>
    <w:rsid w:val="6D107750"/>
    <w:rsid w:val="6D1B5B49"/>
    <w:rsid w:val="6D1C4347"/>
    <w:rsid w:val="6D23240C"/>
    <w:rsid w:val="6D365409"/>
    <w:rsid w:val="6D3B47CD"/>
    <w:rsid w:val="6D3F52FE"/>
    <w:rsid w:val="6D4569A8"/>
    <w:rsid w:val="6D4F64CA"/>
    <w:rsid w:val="6D7B2E1B"/>
    <w:rsid w:val="6D7B72BF"/>
    <w:rsid w:val="6D7E46BA"/>
    <w:rsid w:val="6D920862"/>
    <w:rsid w:val="6D951FB6"/>
    <w:rsid w:val="6D9C62AA"/>
    <w:rsid w:val="6DA5433C"/>
    <w:rsid w:val="6DA84565"/>
    <w:rsid w:val="6DB95988"/>
    <w:rsid w:val="6DC04CD2"/>
    <w:rsid w:val="6DCA3150"/>
    <w:rsid w:val="6DCD28A8"/>
    <w:rsid w:val="6DCF4F15"/>
    <w:rsid w:val="6DD71D4B"/>
    <w:rsid w:val="6DE04E94"/>
    <w:rsid w:val="6DE22E9A"/>
    <w:rsid w:val="6DF66946"/>
    <w:rsid w:val="6DF92F81"/>
    <w:rsid w:val="6DFB5D0A"/>
    <w:rsid w:val="6DFE6B35"/>
    <w:rsid w:val="6E0E5A3E"/>
    <w:rsid w:val="6E1119D2"/>
    <w:rsid w:val="6E1A6AD8"/>
    <w:rsid w:val="6E2F108C"/>
    <w:rsid w:val="6E342511"/>
    <w:rsid w:val="6E343593"/>
    <w:rsid w:val="6E3B07FD"/>
    <w:rsid w:val="6E3B6A4F"/>
    <w:rsid w:val="6E407BC1"/>
    <w:rsid w:val="6E5042A8"/>
    <w:rsid w:val="6E5C1AFA"/>
    <w:rsid w:val="6E6270D9"/>
    <w:rsid w:val="6E662D2C"/>
    <w:rsid w:val="6E6A491D"/>
    <w:rsid w:val="6E6B622B"/>
    <w:rsid w:val="6E76723E"/>
    <w:rsid w:val="6E80205A"/>
    <w:rsid w:val="6E867CCA"/>
    <w:rsid w:val="6E895A0C"/>
    <w:rsid w:val="6E91666F"/>
    <w:rsid w:val="6E922B12"/>
    <w:rsid w:val="6E9E7C8D"/>
    <w:rsid w:val="6E9F0D8B"/>
    <w:rsid w:val="6EAD5A63"/>
    <w:rsid w:val="6EBD7464"/>
    <w:rsid w:val="6ECC31E1"/>
    <w:rsid w:val="6ED053E9"/>
    <w:rsid w:val="6ED547AD"/>
    <w:rsid w:val="6EDF387E"/>
    <w:rsid w:val="6EE844E0"/>
    <w:rsid w:val="6EF74724"/>
    <w:rsid w:val="6EFC1D3A"/>
    <w:rsid w:val="6F0C44FE"/>
    <w:rsid w:val="6F125A01"/>
    <w:rsid w:val="6F150B31"/>
    <w:rsid w:val="6F20011E"/>
    <w:rsid w:val="6F2073DB"/>
    <w:rsid w:val="6F2333A6"/>
    <w:rsid w:val="6F262A45"/>
    <w:rsid w:val="6F2F65B3"/>
    <w:rsid w:val="6F3C1FA3"/>
    <w:rsid w:val="6F486CE7"/>
    <w:rsid w:val="6F4F4560"/>
    <w:rsid w:val="6F5953DE"/>
    <w:rsid w:val="6F5E2375"/>
    <w:rsid w:val="6F630CFE"/>
    <w:rsid w:val="6F667AFB"/>
    <w:rsid w:val="6F6D112D"/>
    <w:rsid w:val="6F6E5145"/>
    <w:rsid w:val="6F743217"/>
    <w:rsid w:val="6F765F90"/>
    <w:rsid w:val="6F797100"/>
    <w:rsid w:val="6F800BBD"/>
    <w:rsid w:val="6F8A78F6"/>
    <w:rsid w:val="6F94060B"/>
    <w:rsid w:val="6F9603E0"/>
    <w:rsid w:val="6F960B43"/>
    <w:rsid w:val="6F9F125F"/>
    <w:rsid w:val="6FA2035E"/>
    <w:rsid w:val="6FAC78FD"/>
    <w:rsid w:val="6FBE16E5"/>
    <w:rsid w:val="6FC51851"/>
    <w:rsid w:val="6FCA6040"/>
    <w:rsid w:val="6FDE0BDB"/>
    <w:rsid w:val="6FE80E39"/>
    <w:rsid w:val="6FE822A6"/>
    <w:rsid w:val="701D28B0"/>
    <w:rsid w:val="70223A22"/>
    <w:rsid w:val="702C664F"/>
    <w:rsid w:val="703A5210"/>
    <w:rsid w:val="703D085C"/>
    <w:rsid w:val="705D16B8"/>
    <w:rsid w:val="705D3407"/>
    <w:rsid w:val="70622071"/>
    <w:rsid w:val="70651D1D"/>
    <w:rsid w:val="706758D9"/>
    <w:rsid w:val="70691A8A"/>
    <w:rsid w:val="706F3F9F"/>
    <w:rsid w:val="70726AB6"/>
    <w:rsid w:val="70781894"/>
    <w:rsid w:val="70797558"/>
    <w:rsid w:val="707A385E"/>
    <w:rsid w:val="70853FB1"/>
    <w:rsid w:val="70871AD7"/>
    <w:rsid w:val="70904E30"/>
    <w:rsid w:val="70912956"/>
    <w:rsid w:val="709C7F0B"/>
    <w:rsid w:val="70A628A5"/>
    <w:rsid w:val="70AE736D"/>
    <w:rsid w:val="70B008E6"/>
    <w:rsid w:val="70B56644"/>
    <w:rsid w:val="70C130F2"/>
    <w:rsid w:val="70C81FB9"/>
    <w:rsid w:val="70CB10F1"/>
    <w:rsid w:val="70CD16CB"/>
    <w:rsid w:val="70D72A5F"/>
    <w:rsid w:val="70D84614"/>
    <w:rsid w:val="70DA674F"/>
    <w:rsid w:val="70DB29EF"/>
    <w:rsid w:val="70DC56B0"/>
    <w:rsid w:val="70DE203F"/>
    <w:rsid w:val="70DF5DB7"/>
    <w:rsid w:val="70E155AA"/>
    <w:rsid w:val="70EB650A"/>
    <w:rsid w:val="70F52672"/>
    <w:rsid w:val="70F742B6"/>
    <w:rsid w:val="70FC4273"/>
    <w:rsid w:val="71072C18"/>
    <w:rsid w:val="710B701C"/>
    <w:rsid w:val="710E6863"/>
    <w:rsid w:val="71213CDA"/>
    <w:rsid w:val="71235FFF"/>
    <w:rsid w:val="712541F9"/>
    <w:rsid w:val="71265794"/>
    <w:rsid w:val="713A4D9B"/>
    <w:rsid w:val="7140633B"/>
    <w:rsid w:val="714874B8"/>
    <w:rsid w:val="715A2F29"/>
    <w:rsid w:val="715A42ED"/>
    <w:rsid w:val="716B6507"/>
    <w:rsid w:val="718B44BF"/>
    <w:rsid w:val="718F72C4"/>
    <w:rsid w:val="71946BA2"/>
    <w:rsid w:val="71970440"/>
    <w:rsid w:val="719B42F3"/>
    <w:rsid w:val="71A212BE"/>
    <w:rsid w:val="71A60683"/>
    <w:rsid w:val="71B20DD6"/>
    <w:rsid w:val="71BC6597"/>
    <w:rsid w:val="71C70D25"/>
    <w:rsid w:val="71CC3C20"/>
    <w:rsid w:val="71E409B6"/>
    <w:rsid w:val="71E73175"/>
    <w:rsid w:val="71F16F43"/>
    <w:rsid w:val="71F238C8"/>
    <w:rsid w:val="71F633B8"/>
    <w:rsid w:val="71FA364F"/>
    <w:rsid w:val="71FE587C"/>
    <w:rsid w:val="71FE7F9C"/>
    <w:rsid w:val="72071122"/>
    <w:rsid w:val="72143FCE"/>
    <w:rsid w:val="72190E55"/>
    <w:rsid w:val="722241AD"/>
    <w:rsid w:val="72261297"/>
    <w:rsid w:val="72264492"/>
    <w:rsid w:val="722E2B52"/>
    <w:rsid w:val="72372BD2"/>
    <w:rsid w:val="72374E7D"/>
    <w:rsid w:val="72405B24"/>
    <w:rsid w:val="72620A4E"/>
    <w:rsid w:val="72691DDC"/>
    <w:rsid w:val="72733DEA"/>
    <w:rsid w:val="7274667A"/>
    <w:rsid w:val="727625CB"/>
    <w:rsid w:val="7278201F"/>
    <w:rsid w:val="72836D95"/>
    <w:rsid w:val="72882E9F"/>
    <w:rsid w:val="728C1627"/>
    <w:rsid w:val="728E35F1"/>
    <w:rsid w:val="729055BB"/>
    <w:rsid w:val="729D1A86"/>
    <w:rsid w:val="72AC3973"/>
    <w:rsid w:val="72AC3E3A"/>
    <w:rsid w:val="72B017B9"/>
    <w:rsid w:val="72B73991"/>
    <w:rsid w:val="72BA2638"/>
    <w:rsid w:val="72BD7A32"/>
    <w:rsid w:val="72BE221C"/>
    <w:rsid w:val="72C2329A"/>
    <w:rsid w:val="72C40DC1"/>
    <w:rsid w:val="72D17F47"/>
    <w:rsid w:val="72D74F98"/>
    <w:rsid w:val="72DF3E4C"/>
    <w:rsid w:val="72E476B5"/>
    <w:rsid w:val="72ED0F48"/>
    <w:rsid w:val="72F571CC"/>
    <w:rsid w:val="73217FC1"/>
    <w:rsid w:val="732909D3"/>
    <w:rsid w:val="73300FF9"/>
    <w:rsid w:val="7335110D"/>
    <w:rsid w:val="73351CBE"/>
    <w:rsid w:val="73396194"/>
    <w:rsid w:val="73573A26"/>
    <w:rsid w:val="73634A7D"/>
    <w:rsid w:val="73765A25"/>
    <w:rsid w:val="7379604F"/>
    <w:rsid w:val="737C36EA"/>
    <w:rsid w:val="738F6E42"/>
    <w:rsid w:val="739C1D3D"/>
    <w:rsid w:val="73A66718"/>
    <w:rsid w:val="73AF2003"/>
    <w:rsid w:val="73BF4107"/>
    <w:rsid w:val="73C179F6"/>
    <w:rsid w:val="73C337A4"/>
    <w:rsid w:val="73C80D84"/>
    <w:rsid w:val="73CD3228"/>
    <w:rsid w:val="73D41FF9"/>
    <w:rsid w:val="73DB2866"/>
    <w:rsid w:val="73E4462B"/>
    <w:rsid w:val="73EC454B"/>
    <w:rsid w:val="73ED4347"/>
    <w:rsid w:val="73F7525C"/>
    <w:rsid w:val="740059B3"/>
    <w:rsid w:val="740718AD"/>
    <w:rsid w:val="74112874"/>
    <w:rsid w:val="7421674E"/>
    <w:rsid w:val="74387CB8"/>
    <w:rsid w:val="74393501"/>
    <w:rsid w:val="743D52CE"/>
    <w:rsid w:val="743E4BA3"/>
    <w:rsid w:val="74423A1C"/>
    <w:rsid w:val="74463A57"/>
    <w:rsid w:val="7452064E"/>
    <w:rsid w:val="745A2A54"/>
    <w:rsid w:val="745F3497"/>
    <w:rsid w:val="74647352"/>
    <w:rsid w:val="746960C4"/>
    <w:rsid w:val="747B7BA5"/>
    <w:rsid w:val="747D1B6F"/>
    <w:rsid w:val="748810D7"/>
    <w:rsid w:val="748D08B6"/>
    <w:rsid w:val="749018A2"/>
    <w:rsid w:val="749B0247"/>
    <w:rsid w:val="74A65E4D"/>
    <w:rsid w:val="74AE1D28"/>
    <w:rsid w:val="74D270AD"/>
    <w:rsid w:val="74DA0D6F"/>
    <w:rsid w:val="74F811F5"/>
    <w:rsid w:val="75023E22"/>
    <w:rsid w:val="750D1A10"/>
    <w:rsid w:val="750F2C75"/>
    <w:rsid w:val="751002ED"/>
    <w:rsid w:val="75131DFC"/>
    <w:rsid w:val="75133C91"/>
    <w:rsid w:val="75175E40"/>
    <w:rsid w:val="751967E8"/>
    <w:rsid w:val="751A73BE"/>
    <w:rsid w:val="752D4353"/>
    <w:rsid w:val="753C5F49"/>
    <w:rsid w:val="753D12FE"/>
    <w:rsid w:val="75402C8A"/>
    <w:rsid w:val="75436915"/>
    <w:rsid w:val="754D1541"/>
    <w:rsid w:val="754E0AE4"/>
    <w:rsid w:val="754E0E15"/>
    <w:rsid w:val="75501620"/>
    <w:rsid w:val="75502DDF"/>
    <w:rsid w:val="755C3532"/>
    <w:rsid w:val="755D63E4"/>
    <w:rsid w:val="75676E39"/>
    <w:rsid w:val="75695C4F"/>
    <w:rsid w:val="756F4232"/>
    <w:rsid w:val="75720063"/>
    <w:rsid w:val="758019E9"/>
    <w:rsid w:val="759A6D74"/>
    <w:rsid w:val="759B63E2"/>
    <w:rsid w:val="75AF3FAA"/>
    <w:rsid w:val="75BE41ED"/>
    <w:rsid w:val="75C31803"/>
    <w:rsid w:val="75C4233D"/>
    <w:rsid w:val="75CB779B"/>
    <w:rsid w:val="75CC0531"/>
    <w:rsid w:val="75D25EEA"/>
    <w:rsid w:val="75D5749A"/>
    <w:rsid w:val="75D738C5"/>
    <w:rsid w:val="75E96B23"/>
    <w:rsid w:val="75EF3075"/>
    <w:rsid w:val="75FE45EA"/>
    <w:rsid w:val="75FE56BB"/>
    <w:rsid w:val="76037E52"/>
    <w:rsid w:val="76045978"/>
    <w:rsid w:val="760F78E6"/>
    <w:rsid w:val="76164029"/>
    <w:rsid w:val="76165DD7"/>
    <w:rsid w:val="761F25A8"/>
    <w:rsid w:val="76200A04"/>
    <w:rsid w:val="7622170F"/>
    <w:rsid w:val="76311333"/>
    <w:rsid w:val="76404C02"/>
    <w:rsid w:val="76432944"/>
    <w:rsid w:val="764F753B"/>
    <w:rsid w:val="76515061"/>
    <w:rsid w:val="76522B87"/>
    <w:rsid w:val="76554DEA"/>
    <w:rsid w:val="76564426"/>
    <w:rsid w:val="765D008E"/>
    <w:rsid w:val="76774D15"/>
    <w:rsid w:val="767B3C18"/>
    <w:rsid w:val="767C19B2"/>
    <w:rsid w:val="767F587E"/>
    <w:rsid w:val="768216BE"/>
    <w:rsid w:val="769136B0"/>
    <w:rsid w:val="76933016"/>
    <w:rsid w:val="769B452E"/>
    <w:rsid w:val="76A30685"/>
    <w:rsid w:val="76B16769"/>
    <w:rsid w:val="76C238F5"/>
    <w:rsid w:val="76C5258F"/>
    <w:rsid w:val="76D01BC9"/>
    <w:rsid w:val="76D14C28"/>
    <w:rsid w:val="76D17F50"/>
    <w:rsid w:val="76D62E8B"/>
    <w:rsid w:val="76D8308D"/>
    <w:rsid w:val="76DE441B"/>
    <w:rsid w:val="76EC4D8A"/>
    <w:rsid w:val="76EE465E"/>
    <w:rsid w:val="770420D4"/>
    <w:rsid w:val="77065E4C"/>
    <w:rsid w:val="771340C5"/>
    <w:rsid w:val="7743455F"/>
    <w:rsid w:val="774D6E67"/>
    <w:rsid w:val="774E5EF6"/>
    <w:rsid w:val="774F1CD9"/>
    <w:rsid w:val="77505319"/>
    <w:rsid w:val="77512E3F"/>
    <w:rsid w:val="775145AD"/>
    <w:rsid w:val="775B5A6C"/>
    <w:rsid w:val="775F438C"/>
    <w:rsid w:val="77671720"/>
    <w:rsid w:val="776B2153"/>
    <w:rsid w:val="777059BB"/>
    <w:rsid w:val="777064E4"/>
    <w:rsid w:val="777803CC"/>
    <w:rsid w:val="77843214"/>
    <w:rsid w:val="778451BE"/>
    <w:rsid w:val="778D1A96"/>
    <w:rsid w:val="77903967"/>
    <w:rsid w:val="77915EC1"/>
    <w:rsid w:val="77A11D45"/>
    <w:rsid w:val="77AB07A1"/>
    <w:rsid w:val="77AD4519"/>
    <w:rsid w:val="77AE0291"/>
    <w:rsid w:val="77AE572A"/>
    <w:rsid w:val="77B27814"/>
    <w:rsid w:val="77B42785"/>
    <w:rsid w:val="77B51620"/>
    <w:rsid w:val="77BA69B4"/>
    <w:rsid w:val="77C07548"/>
    <w:rsid w:val="77CB0E43"/>
    <w:rsid w:val="77CB499F"/>
    <w:rsid w:val="77CC6C53"/>
    <w:rsid w:val="77E15F71"/>
    <w:rsid w:val="77E87794"/>
    <w:rsid w:val="77EC4017"/>
    <w:rsid w:val="77F5069A"/>
    <w:rsid w:val="77FF418E"/>
    <w:rsid w:val="78054DCA"/>
    <w:rsid w:val="782567A5"/>
    <w:rsid w:val="782A3DBC"/>
    <w:rsid w:val="782D2CED"/>
    <w:rsid w:val="784A620C"/>
    <w:rsid w:val="784C56C6"/>
    <w:rsid w:val="78517B6B"/>
    <w:rsid w:val="785C1A9B"/>
    <w:rsid w:val="786A1730"/>
    <w:rsid w:val="78792188"/>
    <w:rsid w:val="78817024"/>
    <w:rsid w:val="78827754"/>
    <w:rsid w:val="78857244"/>
    <w:rsid w:val="78916EE6"/>
    <w:rsid w:val="78A300F5"/>
    <w:rsid w:val="78A771BA"/>
    <w:rsid w:val="78AE360B"/>
    <w:rsid w:val="78BD69DE"/>
    <w:rsid w:val="78D43F6F"/>
    <w:rsid w:val="78DD0E2E"/>
    <w:rsid w:val="78DD2BDC"/>
    <w:rsid w:val="78F45C7B"/>
    <w:rsid w:val="78F9125E"/>
    <w:rsid w:val="78FF0DA4"/>
    <w:rsid w:val="79042D4E"/>
    <w:rsid w:val="79052133"/>
    <w:rsid w:val="790E0FDD"/>
    <w:rsid w:val="79191471"/>
    <w:rsid w:val="79273E57"/>
    <w:rsid w:val="792743D7"/>
    <w:rsid w:val="792A1B99"/>
    <w:rsid w:val="7935771F"/>
    <w:rsid w:val="7936024F"/>
    <w:rsid w:val="793F2539"/>
    <w:rsid w:val="793F73F3"/>
    <w:rsid w:val="79493C20"/>
    <w:rsid w:val="794F33AE"/>
    <w:rsid w:val="7959372F"/>
    <w:rsid w:val="796158AA"/>
    <w:rsid w:val="79621333"/>
    <w:rsid w:val="7969678B"/>
    <w:rsid w:val="796C21B2"/>
    <w:rsid w:val="79772AD4"/>
    <w:rsid w:val="79780B57"/>
    <w:rsid w:val="797F5601"/>
    <w:rsid w:val="79833946"/>
    <w:rsid w:val="798450E7"/>
    <w:rsid w:val="79924D5C"/>
    <w:rsid w:val="7997722F"/>
    <w:rsid w:val="79984D55"/>
    <w:rsid w:val="799C7F96"/>
    <w:rsid w:val="79A33E26"/>
    <w:rsid w:val="79A8657B"/>
    <w:rsid w:val="79B504B7"/>
    <w:rsid w:val="79B94EAF"/>
    <w:rsid w:val="79B9661C"/>
    <w:rsid w:val="79BC212E"/>
    <w:rsid w:val="79BF159B"/>
    <w:rsid w:val="79CC3DC5"/>
    <w:rsid w:val="79D02741"/>
    <w:rsid w:val="79D94D0C"/>
    <w:rsid w:val="79E9735F"/>
    <w:rsid w:val="79EB4F1F"/>
    <w:rsid w:val="79F0693F"/>
    <w:rsid w:val="7A010B4C"/>
    <w:rsid w:val="7A081EDB"/>
    <w:rsid w:val="7A1D0296"/>
    <w:rsid w:val="7A24483B"/>
    <w:rsid w:val="7A293BFF"/>
    <w:rsid w:val="7A2D1115"/>
    <w:rsid w:val="7A340F22"/>
    <w:rsid w:val="7A3556B0"/>
    <w:rsid w:val="7A454111"/>
    <w:rsid w:val="7A4B10D5"/>
    <w:rsid w:val="7A512115"/>
    <w:rsid w:val="7A6115EB"/>
    <w:rsid w:val="7A623DCC"/>
    <w:rsid w:val="7A6D4434"/>
    <w:rsid w:val="7A726D40"/>
    <w:rsid w:val="7A745551"/>
    <w:rsid w:val="7A775F53"/>
    <w:rsid w:val="7A8D23E0"/>
    <w:rsid w:val="7A91548E"/>
    <w:rsid w:val="7A932DEB"/>
    <w:rsid w:val="7AA80FC8"/>
    <w:rsid w:val="7AAE020C"/>
    <w:rsid w:val="7AAF2356"/>
    <w:rsid w:val="7AAF67FA"/>
    <w:rsid w:val="7ABC1938"/>
    <w:rsid w:val="7ABE07EB"/>
    <w:rsid w:val="7AD70296"/>
    <w:rsid w:val="7ADF423F"/>
    <w:rsid w:val="7AE27446"/>
    <w:rsid w:val="7AF54B6B"/>
    <w:rsid w:val="7B101907"/>
    <w:rsid w:val="7B1206B1"/>
    <w:rsid w:val="7B1B3E90"/>
    <w:rsid w:val="7B2A40D3"/>
    <w:rsid w:val="7B304553"/>
    <w:rsid w:val="7B3A5C8F"/>
    <w:rsid w:val="7B3C11F8"/>
    <w:rsid w:val="7B3F192C"/>
    <w:rsid w:val="7B452CBB"/>
    <w:rsid w:val="7B4C5FE3"/>
    <w:rsid w:val="7B4E50F2"/>
    <w:rsid w:val="7B501CA8"/>
    <w:rsid w:val="7B523A2D"/>
    <w:rsid w:val="7B580DFE"/>
    <w:rsid w:val="7B5A6766"/>
    <w:rsid w:val="7B5F5404"/>
    <w:rsid w:val="7B5F7E72"/>
    <w:rsid w:val="7B62180B"/>
    <w:rsid w:val="7B713AB0"/>
    <w:rsid w:val="7B7315D6"/>
    <w:rsid w:val="7B752900"/>
    <w:rsid w:val="7B764B1D"/>
    <w:rsid w:val="7B8122C1"/>
    <w:rsid w:val="7B864625"/>
    <w:rsid w:val="7B88353D"/>
    <w:rsid w:val="7B89704B"/>
    <w:rsid w:val="7B8C08E9"/>
    <w:rsid w:val="7B943E43"/>
    <w:rsid w:val="7BB675CD"/>
    <w:rsid w:val="7BBD4F47"/>
    <w:rsid w:val="7BC04D1F"/>
    <w:rsid w:val="7BC126B3"/>
    <w:rsid w:val="7BC25967"/>
    <w:rsid w:val="7BC40B01"/>
    <w:rsid w:val="7BC41E31"/>
    <w:rsid w:val="7BC71922"/>
    <w:rsid w:val="7BC938EC"/>
    <w:rsid w:val="7BCC0F85"/>
    <w:rsid w:val="7BCD3C26"/>
    <w:rsid w:val="7BDD1145"/>
    <w:rsid w:val="7BDF338E"/>
    <w:rsid w:val="7BE365C8"/>
    <w:rsid w:val="7BE848EB"/>
    <w:rsid w:val="7BE91898"/>
    <w:rsid w:val="7BF05DD8"/>
    <w:rsid w:val="7BF10B66"/>
    <w:rsid w:val="7BF256D2"/>
    <w:rsid w:val="7BFA5853"/>
    <w:rsid w:val="7BFB3163"/>
    <w:rsid w:val="7BFC5A6F"/>
    <w:rsid w:val="7C043CBC"/>
    <w:rsid w:val="7C044924"/>
    <w:rsid w:val="7C087391"/>
    <w:rsid w:val="7C0D6EE9"/>
    <w:rsid w:val="7C1E76ED"/>
    <w:rsid w:val="7C211741"/>
    <w:rsid w:val="7C236D2A"/>
    <w:rsid w:val="7C282B9E"/>
    <w:rsid w:val="7C2B3C5E"/>
    <w:rsid w:val="7C322558"/>
    <w:rsid w:val="7C376AA7"/>
    <w:rsid w:val="7C3A20F4"/>
    <w:rsid w:val="7C3C5EA3"/>
    <w:rsid w:val="7C491437"/>
    <w:rsid w:val="7C4D6747"/>
    <w:rsid w:val="7C4E5A2F"/>
    <w:rsid w:val="7C57481E"/>
    <w:rsid w:val="7C5E4034"/>
    <w:rsid w:val="7C635AEE"/>
    <w:rsid w:val="7C66113B"/>
    <w:rsid w:val="7C666D8C"/>
    <w:rsid w:val="7C6D4277"/>
    <w:rsid w:val="7C705B15"/>
    <w:rsid w:val="7C71419C"/>
    <w:rsid w:val="7C7C6EFF"/>
    <w:rsid w:val="7C7D684C"/>
    <w:rsid w:val="7C7E1AF1"/>
    <w:rsid w:val="7C8F15C4"/>
    <w:rsid w:val="7C912ED1"/>
    <w:rsid w:val="7C921F30"/>
    <w:rsid w:val="7CA67789"/>
    <w:rsid w:val="7CA67C6C"/>
    <w:rsid w:val="7CAA1027"/>
    <w:rsid w:val="7CD11A50"/>
    <w:rsid w:val="7CD728E5"/>
    <w:rsid w:val="7CDC347D"/>
    <w:rsid w:val="7CE44C75"/>
    <w:rsid w:val="7CE6522A"/>
    <w:rsid w:val="7CF404F4"/>
    <w:rsid w:val="7D0B0093"/>
    <w:rsid w:val="7D1152DB"/>
    <w:rsid w:val="7D171309"/>
    <w:rsid w:val="7D220DCA"/>
    <w:rsid w:val="7D2B7277"/>
    <w:rsid w:val="7D39684F"/>
    <w:rsid w:val="7D3B77E8"/>
    <w:rsid w:val="7D480840"/>
    <w:rsid w:val="7D4A2BF9"/>
    <w:rsid w:val="7D4A45B8"/>
    <w:rsid w:val="7D5470E9"/>
    <w:rsid w:val="7D553689"/>
    <w:rsid w:val="7D5D42EC"/>
    <w:rsid w:val="7D602845"/>
    <w:rsid w:val="7D6A07B6"/>
    <w:rsid w:val="7D6C741B"/>
    <w:rsid w:val="7D7569F2"/>
    <w:rsid w:val="7D763641"/>
    <w:rsid w:val="7D7B6454"/>
    <w:rsid w:val="7D8E5279"/>
    <w:rsid w:val="7D951CD7"/>
    <w:rsid w:val="7D960E4B"/>
    <w:rsid w:val="7DA243F4"/>
    <w:rsid w:val="7DAB2A07"/>
    <w:rsid w:val="7DBE0144"/>
    <w:rsid w:val="7DC225BC"/>
    <w:rsid w:val="7DC402FD"/>
    <w:rsid w:val="7DC91981"/>
    <w:rsid w:val="7DCA74A7"/>
    <w:rsid w:val="7DD2678E"/>
    <w:rsid w:val="7DD44D87"/>
    <w:rsid w:val="7DD87794"/>
    <w:rsid w:val="7DF54524"/>
    <w:rsid w:val="7DF95473"/>
    <w:rsid w:val="7DFA7D8C"/>
    <w:rsid w:val="7E0B01EB"/>
    <w:rsid w:val="7E2412AD"/>
    <w:rsid w:val="7E355268"/>
    <w:rsid w:val="7E3D5ECB"/>
    <w:rsid w:val="7E3F5F9F"/>
    <w:rsid w:val="7E431733"/>
    <w:rsid w:val="7E437985"/>
    <w:rsid w:val="7E447259"/>
    <w:rsid w:val="7E5075A8"/>
    <w:rsid w:val="7E516E43"/>
    <w:rsid w:val="7E590F57"/>
    <w:rsid w:val="7E5E656D"/>
    <w:rsid w:val="7E64769F"/>
    <w:rsid w:val="7E68119A"/>
    <w:rsid w:val="7E6A0549"/>
    <w:rsid w:val="7E6B6EDC"/>
    <w:rsid w:val="7E6B70A0"/>
    <w:rsid w:val="7E755665"/>
    <w:rsid w:val="7E7713DD"/>
    <w:rsid w:val="7E8458A8"/>
    <w:rsid w:val="7E8A2664"/>
    <w:rsid w:val="7E8A7362"/>
    <w:rsid w:val="7E8B6C36"/>
    <w:rsid w:val="7E991353"/>
    <w:rsid w:val="7EAD3051"/>
    <w:rsid w:val="7EB10D93"/>
    <w:rsid w:val="7EB86A54"/>
    <w:rsid w:val="7EC955D6"/>
    <w:rsid w:val="7ECF746B"/>
    <w:rsid w:val="7ED20D09"/>
    <w:rsid w:val="7ED95BF4"/>
    <w:rsid w:val="7EE06F82"/>
    <w:rsid w:val="7EE50A3C"/>
    <w:rsid w:val="7EF576D4"/>
    <w:rsid w:val="7EF944E8"/>
    <w:rsid w:val="7EFC18E2"/>
    <w:rsid w:val="7F00483F"/>
    <w:rsid w:val="7F007380"/>
    <w:rsid w:val="7F0A597C"/>
    <w:rsid w:val="7F0C63B0"/>
    <w:rsid w:val="7F210F90"/>
    <w:rsid w:val="7F254A59"/>
    <w:rsid w:val="7F2552DD"/>
    <w:rsid w:val="7F31384D"/>
    <w:rsid w:val="7F3765FE"/>
    <w:rsid w:val="7F3E5A2A"/>
    <w:rsid w:val="7F4C0ABC"/>
    <w:rsid w:val="7F546320"/>
    <w:rsid w:val="7F5636E8"/>
    <w:rsid w:val="7F5C05D3"/>
    <w:rsid w:val="7F6555F0"/>
    <w:rsid w:val="7F7122D0"/>
    <w:rsid w:val="7F73429A"/>
    <w:rsid w:val="7F761695"/>
    <w:rsid w:val="7F7973D7"/>
    <w:rsid w:val="7F8518D8"/>
    <w:rsid w:val="7FA206DC"/>
    <w:rsid w:val="7FA67AB3"/>
    <w:rsid w:val="7FBE45A5"/>
    <w:rsid w:val="7FC70142"/>
    <w:rsid w:val="7FCA19E0"/>
    <w:rsid w:val="7FCB5E84"/>
    <w:rsid w:val="7FCE327F"/>
    <w:rsid w:val="7FD91C23"/>
    <w:rsid w:val="7FDF3BB7"/>
    <w:rsid w:val="7FE01204"/>
    <w:rsid w:val="7FE02FB2"/>
    <w:rsid w:val="7FEB4EF7"/>
    <w:rsid w:val="7FF07699"/>
    <w:rsid w:val="7FF802FC"/>
    <w:rsid w:val="7FF91C21"/>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0" w:semiHidden="0" w:name="heading 1"/>
    <w:lsdException w:qFormat="1" w:uiPriority="0" w:semiHidden="0" w:name="heading 2"/>
    <w:lsdException w:qFormat="1" w:uiPriority="9" w:semiHidden="0" w:name="heading 3"/>
    <w:lsdException w:qFormat="1" w:uiPriority="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ind w:firstLine="200" w:firstLineChars="200"/>
    </w:pPr>
    <w:rPr>
      <w:rFonts w:ascii="仿宋" w:hAnsi="仿宋" w:eastAsia="仿宋_GB2312" w:cs="仿宋"/>
      <w:color w:val="000000"/>
      <w:kern w:val="2"/>
      <w:sz w:val="28"/>
      <w:szCs w:val="22"/>
      <w:lang w:val="en-US" w:eastAsia="zh-CN" w:bidi="ar-SA"/>
    </w:rPr>
  </w:style>
  <w:style w:type="paragraph" w:styleId="3">
    <w:name w:val="heading 1"/>
    <w:basedOn w:val="1"/>
    <w:next w:val="1"/>
    <w:unhideWhenUsed/>
    <w:qFormat/>
    <w:uiPriority w:val="0"/>
    <w:pPr>
      <w:keepNext/>
      <w:keepLines/>
      <w:spacing w:after="435" w:line="296" w:lineRule="auto"/>
      <w:ind w:left="355" w:right="-15" w:hanging="10"/>
      <w:outlineLvl w:val="0"/>
    </w:pPr>
    <w:rPr>
      <w:rFonts w:eastAsia="仿宋"/>
      <w:sz w:val="30"/>
    </w:rPr>
  </w:style>
  <w:style w:type="paragraph" w:styleId="4">
    <w:name w:val="heading 2"/>
    <w:basedOn w:val="1"/>
    <w:next w:val="1"/>
    <w:unhideWhenUsed/>
    <w:qFormat/>
    <w:uiPriority w:val="0"/>
    <w:pPr>
      <w:widowControl w:val="0"/>
      <w:spacing w:beforeLines="100" w:afterLines="100"/>
      <w:outlineLvl w:val="1"/>
    </w:pPr>
    <w:rPr>
      <w:rFonts w:ascii="Times New Roman" w:hAnsi="Times New Roman" w:eastAsia="Times New Roman" w:cs="Times New Roman"/>
      <w:b/>
    </w:rPr>
  </w:style>
  <w:style w:type="paragraph" w:styleId="5">
    <w:name w:val="heading 3"/>
    <w:basedOn w:val="1"/>
    <w:next w:val="1"/>
    <w:unhideWhenUsed/>
    <w:qFormat/>
    <w:uiPriority w:val="9"/>
    <w:pPr>
      <w:keepNext/>
      <w:keepLines/>
      <w:spacing w:beforeLines="50" w:afterLines="50"/>
      <w:ind w:firstLine="71" w:firstLineChars="71"/>
      <w:outlineLvl w:val="2"/>
    </w:pPr>
    <w:rPr>
      <w:rFonts w:ascii="Times New Roman" w:hAnsi="Times New Roman" w:cs="Times New Roman"/>
      <w:b/>
      <w:color w:val="000000" w:themeColor="text1"/>
      <w14:textFill>
        <w14:solidFill>
          <w14:schemeClr w14:val="tx1"/>
        </w14:solidFill>
      </w14:textFill>
    </w:rPr>
  </w:style>
  <w:style w:type="paragraph" w:styleId="6">
    <w:name w:val="heading 4"/>
    <w:next w:val="1"/>
    <w:unhideWhenUsed/>
    <w:qFormat/>
    <w:uiPriority w:val="9"/>
    <w:pPr>
      <w:keepNext/>
      <w:keepLines/>
      <w:spacing w:line="360" w:lineRule="auto"/>
      <w:ind w:firstLine="200" w:firstLineChars="200"/>
      <w:outlineLvl w:val="3"/>
    </w:pPr>
    <w:rPr>
      <w:rFonts w:ascii="Times New Roman" w:hAnsi="Times New Roman" w:eastAsia="仿宋_GB2312" w:cs="Times New Roman"/>
      <w:color w:val="000000"/>
      <w:kern w:val="2"/>
      <w:sz w:val="28"/>
      <w:szCs w:val="22"/>
      <w:lang w:val="en-US" w:eastAsia="zh-CN" w:bidi="ar-SA"/>
    </w:rPr>
  </w:style>
  <w:style w:type="paragraph" w:styleId="2">
    <w:name w:val="heading 5"/>
    <w:basedOn w:val="1"/>
    <w:next w:val="1"/>
    <w:qFormat/>
    <w:uiPriority w:val="99"/>
    <w:pPr>
      <w:spacing w:line="240" w:lineRule="auto"/>
      <w:ind w:firstLine="0" w:firstLineChars="0"/>
      <w:outlineLvl w:val="4"/>
    </w:pPr>
    <w:rPr>
      <w:kern w:val="0"/>
      <w:szCs w:val="20"/>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widowControl w:val="0"/>
      <w:adjustRightInd/>
      <w:snapToGrid/>
      <w:spacing w:line="240" w:lineRule="auto"/>
      <w:ind w:left="2520" w:leftChars="1200" w:firstLine="0" w:firstLineChars="0"/>
      <w:jc w:val="both"/>
    </w:pPr>
    <w:rPr>
      <w:rFonts w:asciiTheme="minorHAnsi" w:hAnsiTheme="minorHAnsi" w:eastAsiaTheme="minorEastAsia" w:cstheme="minorBidi"/>
      <w:color w:val="auto"/>
      <w:sz w:val="21"/>
    </w:rPr>
  </w:style>
  <w:style w:type="paragraph" w:styleId="8">
    <w:name w:val="annotation text"/>
    <w:basedOn w:val="1"/>
    <w:link w:val="34"/>
    <w:semiHidden/>
    <w:unhideWhenUsed/>
    <w:qFormat/>
    <w:uiPriority w:val="99"/>
  </w:style>
  <w:style w:type="paragraph" w:styleId="9">
    <w:name w:val="Body Text"/>
    <w:basedOn w:val="1"/>
    <w:next w:val="10"/>
    <w:qFormat/>
    <w:uiPriority w:val="99"/>
    <w:pPr>
      <w:spacing w:after="120"/>
    </w:pPr>
  </w:style>
  <w:style w:type="paragraph" w:styleId="10">
    <w:name w:val="Body Text 2"/>
    <w:basedOn w:val="1"/>
    <w:next w:val="11"/>
    <w:qFormat/>
    <w:uiPriority w:val="99"/>
    <w:pPr>
      <w:spacing w:line="480" w:lineRule="atLeast"/>
    </w:pPr>
    <w:rPr>
      <w:rFonts w:ascii="宋体" w:hAnsi="宋体"/>
      <w:szCs w:val="20"/>
    </w:rPr>
  </w:style>
  <w:style w:type="paragraph" w:styleId="11">
    <w:name w:val="Body Text Indent 3"/>
    <w:basedOn w:val="1"/>
    <w:next w:val="12"/>
    <w:qFormat/>
    <w:uiPriority w:val="99"/>
    <w:pPr>
      <w:spacing w:line="440" w:lineRule="exact"/>
      <w:ind w:firstLine="628"/>
    </w:pPr>
    <w:rPr>
      <w:sz w:val="32"/>
      <w:szCs w:val="20"/>
    </w:rPr>
  </w:style>
  <w:style w:type="paragraph" w:styleId="12">
    <w:name w:val="header"/>
    <w:basedOn w:val="1"/>
    <w:next w:val="13"/>
    <w:qFormat/>
    <w:uiPriority w:val="99"/>
    <w:pPr>
      <w:pBdr>
        <w:top w:val="none" w:color="auto" w:sz="0" w:space="1"/>
        <w:left w:val="none" w:color="auto" w:sz="0" w:space="4"/>
        <w:bottom w:val="none" w:color="auto" w:sz="0" w:space="1"/>
        <w:right w:val="none" w:color="auto" w:sz="0" w:space="4"/>
      </w:pBdr>
      <w:spacing w:line="240" w:lineRule="auto"/>
    </w:pPr>
    <w:rPr>
      <w:sz w:val="18"/>
    </w:rPr>
  </w:style>
  <w:style w:type="paragraph" w:styleId="13">
    <w:name w:val="footer"/>
    <w:basedOn w:val="1"/>
    <w:next w:val="14"/>
    <w:link w:val="55"/>
    <w:unhideWhenUsed/>
    <w:qFormat/>
    <w:uiPriority w:val="99"/>
    <w:pPr>
      <w:tabs>
        <w:tab w:val="center" w:pos="4153"/>
        <w:tab w:val="right" w:pos="8306"/>
      </w:tabs>
    </w:pPr>
    <w:rPr>
      <w:sz w:val="18"/>
    </w:rPr>
  </w:style>
  <w:style w:type="paragraph" w:styleId="14">
    <w:name w:val="Balloon Text"/>
    <w:basedOn w:val="1"/>
    <w:next w:val="15"/>
    <w:link w:val="35"/>
    <w:qFormat/>
    <w:uiPriority w:val="0"/>
    <w:pPr>
      <w:spacing w:line="240" w:lineRule="auto"/>
    </w:pPr>
    <w:rPr>
      <w:sz w:val="18"/>
      <w:szCs w:val="18"/>
    </w:rPr>
  </w:style>
  <w:style w:type="paragraph" w:styleId="15">
    <w:name w:val="Body Text Indent 2"/>
    <w:basedOn w:val="1"/>
    <w:next w:val="16"/>
    <w:qFormat/>
    <w:uiPriority w:val="99"/>
    <w:pPr>
      <w:ind w:firstLine="600"/>
    </w:pPr>
    <w:rPr>
      <w:rFonts w:ascii="仿宋_GB2312"/>
      <w:sz w:val="30"/>
      <w:szCs w:val="20"/>
    </w:rPr>
  </w:style>
  <w:style w:type="paragraph" w:styleId="16">
    <w:name w:val="Date"/>
    <w:basedOn w:val="1"/>
    <w:next w:val="1"/>
    <w:qFormat/>
    <w:uiPriority w:val="99"/>
    <w:rPr>
      <w:rFonts w:ascii="隶书" w:hAnsi="Courier New" w:eastAsia="隶书"/>
      <w:b/>
      <w:sz w:val="44"/>
      <w:szCs w:val="20"/>
    </w:rPr>
  </w:style>
  <w:style w:type="paragraph" w:styleId="17">
    <w:name w:val="Body Text Indent"/>
    <w:basedOn w:val="1"/>
    <w:next w:val="18"/>
    <w:qFormat/>
    <w:uiPriority w:val="0"/>
    <w:pPr>
      <w:spacing w:line="600" w:lineRule="exact"/>
      <w:ind w:firstLine="1237" w:firstLineChars="398"/>
    </w:pPr>
    <w:rPr>
      <w:rFonts w:ascii="仿宋_GB2312"/>
      <w:b/>
      <w:bCs/>
    </w:rPr>
  </w:style>
  <w:style w:type="paragraph" w:styleId="18">
    <w:name w:val="Body Text First Indent 2"/>
    <w:basedOn w:val="17"/>
    <w:next w:val="1"/>
    <w:qFormat/>
    <w:uiPriority w:val="0"/>
    <w:pPr>
      <w:ind w:firstLine="420" w:firstLineChars="200"/>
    </w:pPr>
    <w:rPr>
      <w:rFonts w:ascii="Times New Roman"/>
    </w:rPr>
  </w:style>
  <w:style w:type="paragraph" w:styleId="19">
    <w:name w:val="toc 5"/>
    <w:basedOn w:val="1"/>
    <w:next w:val="1"/>
    <w:unhideWhenUsed/>
    <w:qFormat/>
    <w:uiPriority w:val="39"/>
    <w:pPr>
      <w:widowControl w:val="0"/>
      <w:adjustRightInd/>
      <w:snapToGrid/>
      <w:spacing w:line="240" w:lineRule="auto"/>
      <w:ind w:left="1680" w:leftChars="800" w:firstLine="0" w:firstLineChars="0"/>
      <w:jc w:val="both"/>
    </w:pPr>
    <w:rPr>
      <w:rFonts w:asciiTheme="minorHAnsi" w:hAnsiTheme="minorHAnsi" w:eastAsiaTheme="minorEastAsia" w:cstheme="minorBidi"/>
      <w:color w:val="auto"/>
      <w:sz w:val="21"/>
    </w:rPr>
  </w:style>
  <w:style w:type="paragraph" w:styleId="20">
    <w:name w:val="toc 3"/>
    <w:basedOn w:val="1"/>
    <w:next w:val="1"/>
    <w:unhideWhenUsed/>
    <w:qFormat/>
    <w:uiPriority w:val="39"/>
    <w:pPr>
      <w:adjustRightInd/>
      <w:snapToGrid/>
      <w:spacing w:after="100" w:line="259" w:lineRule="auto"/>
      <w:ind w:left="440" w:firstLine="0" w:firstLineChars="0"/>
    </w:pPr>
    <w:rPr>
      <w:rFonts w:cs="Times New Roman" w:asciiTheme="minorHAnsi" w:hAnsiTheme="minorHAnsi" w:eastAsiaTheme="minorEastAsia"/>
      <w:color w:val="auto"/>
      <w:kern w:val="0"/>
      <w:sz w:val="22"/>
    </w:rPr>
  </w:style>
  <w:style w:type="paragraph" w:styleId="21">
    <w:name w:val="toc 8"/>
    <w:basedOn w:val="1"/>
    <w:next w:val="1"/>
    <w:unhideWhenUsed/>
    <w:qFormat/>
    <w:uiPriority w:val="39"/>
    <w:pPr>
      <w:widowControl w:val="0"/>
      <w:adjustRightInd/>
      <w:snapToGrid/>
      <w:spacing w:line="240" w:lineRule="auto"/>
      <w:ind w:left="2940" w:leftChars="1400" w:firstLine="0" w:firstLineChars="0"/>
      <w:jc w:val="both"/>
    </w:pPr>
    <w:rPr>
      <w:rFonts w:asciiTheme="minorHAnsi" w:hAnsiTheme="minorHAnsi" w:eastAsiaTheme="minorEastAsia" w:cstheme="minorBidi"/>
      <w:color w:val="auto"/>
      <w:sz w:val="21"/>
    </w:rPr>
  </w:style>
  <w:style w:type="paragraph" w:styleId="22">
    <w:name w:val="toc 1"/>
    <w:basedOn w:val="1"/>
    <w:next w:val="1"/>
    <w:unhideWhenUsed/>
    <w:qFormat/>
    <w:uiPriority w:val="39"/>
    <w:pPr>
      <w:adjustRightInd/>
      <w:snapToGrid/>
      <w:spacing w:after="100" w:line="259" w:lineRule="auto"/>
      <w:ind w:firstLine="0" w:firstLineChars="0"/>
    </w:pPr>
    <w:rPr>
      <w:rFonts w:cs="Times New Roman" w:asciiTheme="minorHAnsi" w:hAnsiTheme="minorHAnsi" w:eastAsiaTheme="minorEastAsia"/>
      <w:color w:val="auto"/>
      <w:kern w:val="0"/>
      <w:sz w:val="22"/>
    </w:rPr>
  </w:style>
  <w:style w:type="paragraph" w:styleId="23">
    <w:name w:val="toc 4"/>
    <w:basedOn w:val="1"/>
    <w:next w:val="1"/>
    <w:unhideWhenUsed/>
    <w:qFormat/>
    <w:uiPriority w:val="39"/>
    <w:pPr>
      <w:widowControl w:val="0"/>
      <w:adjustRightInd/>
      <w:snapToGrid/>
      <w:spacing w:line="240" w:lineRule="auto"/>
      <w:ind w:left="1260" w:leftChars="600" w:firstLine="0" w:firstLineChars="0"/>
      <w:jc w:val="both"/>
    </w:pPr>
    <w:rPr>
      <w:rFonts w:asciiTheme="minorHAnsi" w:hAnsiTheme="minorHAnsi" w:eastAsiaTheme="minorEastAsia" w:cstheme="minorBidi"/>
      <w:color w:val="auto"/>
      <w:sz w:val="21"/>
    </w:rPr>
  </w:style>
  <w:style w:type="paragraph" w:styleId="24">
    <w:name w:val="toc 6"/>
    <w:basedOn w:val="1"/>
    <w:next w:val="1"/>
    <w:unhideWhenUsed/>
    <w:qFormat/>
    <w:uiPriority w:val="39"/>
    <w:pPr>
      <w:widowControl w:val="0"/>
      <w:adjustRightInd/>
      <w:snapToGrid/>
      <w:spacing w:line="240" w:lineRule="auto"/>
      <w:ind w:left="2100" w:leftChars="1000" w:firstLine="0" w:firstLineChars="0"/>
      <w:jc w:val="both"/>
    </w:pPr>
    <w:rPr>
      <w:rFonts w:asciiTheme="minorHAnsi" w:hAnsiTheme="minorHAnsi" w:eastAsiaTheme="minorEastAsia" w:cstheme="minorBidi"/>
      <w:color w:val="auto"/>
      <w:sz w:val="21"/>
    </w:rPr>
  </w:style>
  <w:style w:type="paragraph" w:styleId="25">
    <w:name w:val="toc 2"/>
    <w:basedOn w:val="1"/>
    <w:next w:val="1"/>
    <w:unhideWhenUsed/>
    <w:qFormat/>
    <w:uiPriority w:val="39"/>
    <w:pPr>
      <w:adjustRightInd/>
      <w:snapToGrid/>
      <w:spacing w:after="100" w:line="259" w:lineRule="auto"/>
      <w:ind w:left="220" w:firstLine="0" w:firstLineChars="0"/>
    </w:pPr>
    <w:rPr>
      <w:rFonts w:cs="Times New Roman" w:asciiTheme="minorHAnsi" w:hAnsiTheme="minorHAnsi" w:eastAsiaTheme="minorEastAsia"/>
      <w:color w:val="auto"/>
      <w:kern w:val="0"/>
      <w:sz w:val="22"/>
    </w:rPr>
  </w:style>
  <w:style w:type="paragraph" w:styleId="26">
    <w:name w:val="toc 9"/>
    <w:basedOn w:val="1"/>
    <w:next w:val="1"/>
    <w:unhideWhenUsed/>
    <w:qFormat/>
    <w:uiPriority w:val="39"/>
    <w:pPr>
      <w:widowControl w:val="0"/>
      <w:adjustRightInd/>
      <w:snapToGrid/>
      <w:spacing w:line="240" w:lineRule="auto"/>
      <w:ind w:left="3360" w:leftChars="1600" w:firstLine="0" w:firstLineChars="0"/>
      <w:jc w:val="both"/>
    </w:pPr>
    <w:rPr>
      <w:rFonts w:asciiTheme="minorHAnsi" w:hAnsiTheme="minorHAnsi" w:eastAsiaTheme="minorEastAsia" w:cstheme="minorBidi"/>
      <w:color w:val="auto"/>
      <w:sz w:val="21"/>
    </w:rPr>
  </w:style>
  <w:style w:type="paragraph" w:styleId="27">
    <w:name w:val="Normal (Web)"/>
    <w:basedOn w:val="1"/>
    <w:qFormat/>
    <w:uiPriority w:val="0"/>
    <w:pPr>
      <w:spacing w:beforeAutospacing="1" w:afterAutospacing="1"/>
    </w:pPr>
    <w:rPr>
      <w:rFonts w:cs="Times New Roman"/>
      <w:kern w:val="0"/>
      <w:sz w:val="24"/>
    </w:rPr>
  </w:style>
  <w:style w:type="paragraph" w:styleId="28">
    <w:name w:val="annotation subject"/>
    <w:basedOn w:val="8"/>
    <w:next w:val="8"/>
    <w:link w:val="36"/>
    <w:qFormat/>
    <w:uiPriority w:val="0"/>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Hyperlink"/>
    <w:basedOn w:val="31"/>
    <w:qFormat/>
    <w:uiPriority w:val="99"/>
    <w:rPr>
      <w:color w:val="0000FF"/>
      <w:u w:val="single"/>
    </w:rPr>
  </w:style>
  <w:style w:type="character" w:styleId="33">
    <w:name w:val="annotation reference"/>
    <w:basedOn w:val="31"/>
    <w:semiHidden/>
    <w:unhideWhenUsed/>
    <w:qFormat/>
    <w:uiPriority w:val="99"/>
    <w:rPr>
      <w:sz w:val="21"/>
      <w:szCs w:val="21"/>
    </w:rPr>
  </w:style>
  <w:style w:type="character" w:customStyle="1" w:styleId="34">
    <w:name w:val="批注文字 Char"/>
    <w:basedOn w:val="31"/>
    <w:link w:val="8"/>
    <w:semiHidden/>
    <w:qFormat/>
    <w:uiPriority w:val="99"/>
    <w:rPr>
      <w:rFonts w:ascii="仿宋" w:hAnsi="仿宋" w:eastAsia="仿宋_GB2312" w:cs="仿宋"/>
      <w:color w:val="000000"/>
      <w:kern w:val="2"/>
      <w:sz w:val="28"/>
      <w:szCs w:val="22"/>
    </w:rPr>
  </w:style>
  <w:style w:type="character" w:customStyle="1" w:styleId="35">
    <w:name w:val="批注框文本 Char"/>
    <w:basedOn w:val="31"/>
    <w:link w:val="14"/>
    <w:qFormat/>
    <w:uiPriority w:val="0"/>
    <w:rPr>
      <w:rFonts w:ascii="仿宋" w:hAnsi="仿宋" w:eastAsia="仿宋_GB2312" w:cs="仿宋"/>
      <w:color w:val="000000"/>
      <w:kern w:val="2"/>
      <w:sz w:val="18"/>
      <w:szCs w:val="18"/>
    </w:rPr>
  </w:style>
  <w:style w:type="character" w:customStyle="1" w:styleId="36">
    <w:name w:val="批注主题 Char"/>
    <w:basedOn w:val="34"/>
    <w:link w:val="28"/>
    <w:qFormat/>
    <w:uiPriority w:val="0"/>
    <w:rPr>
      <w:rFonts w:ascii="仿宋" w:hAnsi="仿宋" w:eastAsia="仿宋_GB2312" w:cs="仿宋"/>
      <w:b/>
      <w:bCs/>
      <w:color w:val="000000"/>
      <w:kern w:val="2"/>
      <w:sz w:val="28"/>
      <w:szCs w:val="22"/>
    </w:rPr>
  </w:style>
  <w:style w:type="paragraph" w:customStyle="1" w:styleId="37">
    <w:name w:val="表格标题11"/>
    <w:basedOn w:val="1"/>
    <w:qFormat/>
    <w:uiPriority w:val="0"/>
    <w:pPr>
      <w:widowControl w:val="0"/>
      <w:adjustRightInd/>
      <w:snapToGrid/>
      <w:ind w:firstLine="0" w:firstLineChars="0"/>
      <w:jc w:val="center"/>
    </w:pPr>
    <w:rPr>
      <w:rFonts w:ascii="Times New Roman" w:hAnsi="Times New Roman" w:cs="Times New Roman"/>
      <w:b/>
      <w:color w:val="auto"/>
      <w:szCs w:val="28"/>
    </w:rPr>
  </w:style>
  <w:style w:type="table" w:customStyle="1" w:styleId="38">
    <w:name w:val="TableGrid"/>
    <w:qFormat/>
    <w:uiPriority w:val="0"/>
    <w:tblPr>
      <w:tblCellMar>
        <w:top w:w="0" w:type="dxa"/>
        <w:left w:w="0" w:type="dxa"/>
        <w:bottom w:w="0" w:type="dxa"/>
        <w:right w:w="0" w:type="dxa"/>
      </w:tblCellMar>
    </w:tblPr>
  </w:style>
  <w:style w:type="paragraph" w:customStyle="1" w:styleId="39">
    <w:name w:val="表名"/>
    <w:basedOn w:val="1"/>
    <w:qFormat/>
    <w:uiPriority w:val="0"/>
    <w:pPr>
      <w:widowControl w:val="0"/>
      <w:adjustRightInd/>
      <w:snapToGrid/>
      <w:ind w:firstLine="0" w:firstLineChars="0"/>
      <w:jc w:val="center"/>
    </w:pPr>
    <w:rPr>
      <w:rFonts w:ascii="Times New Roman" w:hAnsi="Times New Roman" w:eastAsia="仿宋" w:cs="Times New Roman"/>
      <w:b/>
      <w:color w:val="auto"/>
      <w:sz w:val="24"/>
    </w:rPr>
  </w:style>
  <w:style w:type="character" w:customStyle="1" w:styleId="40">
    <w:name w:val="font31"/>
    <w:basedOn w:val="31"/>
    <w:qFormat/>
    <w:uiPriority w:val="0"/>
    <w:rPr>
      <w:rFonts w:hint="eastAsia" w:ascii="仿宋_GB2312" w:eastAsia="仿宋_GB2312" w:cs="仿宋_GB2312"/>
      <w:b/>
      <w:bCs/>
      <w:color w:val="000000"/>
      <w:sz w:val="21"/>
      <w:szCs w:val="21"/>
      <w:u w:val="none"/>
    </w:rPr>
  </w:style>
  <w:style w:type="paragraph" w:customStyle="1" w:styleId="41">
    <w:name w:val="表格内容"/>
    <w:basedOn w:val="1"/>
    <w:link w:val="42"/>
    <w:qFormat/>
    <w:uiPriority w:val="0"/>
    <w:pPr>
      <w:adjustRightInd/>
      <w:snapToGrid/>
      <w:spacing w:line="240" w:lineRule="auto"/>
      <w:ind w:firstLine="0" w:firstLineChars="0"/>
      <w:jc w:val="center"/>
    </w:pPr>
    <w:rPr>
      <w:rFonts w:ascii="Times New Roman" w:hAnsi="Times New Roman" w:eastAsia="仿宋" w:cs="宋体"/>
      <w:kern w:val="0"/>
      <w:sz w:val="24"/>
    </w:rPr>
  </w:style>
  <w:style w:type="character" w:customStyle="1" w:styleId="42">
    <w:name w:val="表格内容 字符"/>
    <w:link w:val="41"/>
    <w:qFormat/>
    <w:uiPriority w:val="0"/>
    <w:rPr>
      <w:rFonts w:eastAsia="仿宋" w:cs="宋体"/>
      <w:color w:val="000000"/>
      <w:sz w:val="24"/>
      <w:szCs w:val="22"/>
    </w:rPr>
  </w:style>
  <w:style w:type="character" w:customStyle="1" w:styleId="43">
    <w:name w:val="font41"/>
    <w:basedOn w:val="31"/>
    <w:qFormat/>
    <w:uiPriority w:val="0"/>
    <w:rPr>
      <w:rFonts w:hint="eastAsia" w:ascii="宋体" w:hAnsi="宋体" w:eastAsia="宋体" w:cs="宋体"/>
      <w:color w:val="000000"/>
      <w:sz w:val="21"/>
      <w:szCs w:val="21"/>
      <w:u w:val="none"/>
    </w:rPr>
  </w:style>
  <w:style w:type="character" w:customStyle="1" w:styleId="44">
    <w:name w:val="font21"/>
    <w:basedOn w:val="31"/>
    <w:qFormat/>
    <w:uiPriority w:val="0"/>
    <w:rPr>
      <w:rFonts w:hint="default" w:ascii="Times New Roman" w:hAnsi="Times New Roman" w:cs="Times New Roman"/>
      <w:color w:val="000000"/>
      <w:sz w:val="21"/>
      <w:szCs w:val="21"/>
      <w:u w:val="none"/>
    </w:rPr>
  </w:style>
  <w:style w:type="character" w:customStyle="1" w:styleId="45">
    <w:name w:val="font61"/>
    <w:basedOn w:val="31"/>
    <w:qFormat/>
    <w:uiPriority w:val="0"/>
    <w:rPr>
      <w:rFonts w:hint="eastAsia" w:ascii="宋体" w:hAnsi="宋体" w:eastAsia="宋体" w:cs="宋体"/>
      <w:color w:val="000000"/>
      <w:sz w:val="20"/>
      <w:szCs w:val="20"/>
      <w:u w:val="none"/>
    </w:rPr>
  </w:style>
  <w:style w:type="character" w:customStyle="1" w:styleId="46">
    <w:name w:val="font71"/>
    <w:basedOn w:val="31"/>
    <w:qFormat/>
    <w:uiPriority w:val="0"/>
    <w:rPr>
      <w:rFonts w:hint="default" w:ascii="Times New Roman" w:hAnsi="Times New Roman" w:cs="Times New Roman"/>
      <w:color w:val="000000"/>
      <w:sz w:val="20"/>
      <w:szCs w:val="20"/>
      <w:u w:val="none"/>
    </w:rPr>
  </w:style>
  <w:style w:type="character" w:customStyle="1" w:styleId="47">
    <w:name w:val="font11"/>
    <w:basedOn w:val="31"/>
    <w:qFormat/>
    <w:uiPriority w:val="0"/>
    <w:rPr>
      <w:rFonts w:hint="default" w:ascii="Times New Roman" w:hAnsi="Times New Roman" w:cs="Times New Roman"/>
      <w:color w:val="000000"/>
      <w:sz w:val="20"/>
      <w:szCs w:val="20"/>
      <w:u w:val="none"/>
    </w:rPr>
  </w:style>
  <w:style w:type="paragraph" w:customStyle="1" w:styleId="48">
    <w:name w:val="TOC 标题1"/>
    <w:basedOn w:val="3"/>
    <w:next w:val="1"/>
    <w:unhideWhenUsed/>
    <w:qFormat/>
    <w:uiPriority w:val="39"/>
    <w:pPr>
      <w:spacing w:before="240" w:after="0" w:line="259" w:lineRule="auto"/>
      <w:ind w:left="0" w:right="0" w:firstLine="0"/>
      <w:outlineLvl w:val="9"/>
    </w:pPr>
    <w:rPr>
      <w:rFonts w:asciiTheme="majorHAnsi" w:hAnsiTheme="majorHAnsi" w:eastAsiaTheme="majorEastAsia" w:cstheme="majorBidi"/>
      <w:color w:val="2E75B6" w:themeColor="accent1" w:themeShade="BF"/>
      <w:kern w:val="0"/>
      <w:sz w:val="32"/>
      <w:szCs w:val="32"/>
    </w:rPr>
  </w:style>
  <w:style w:type="paragraph" w:customStyle="1" w:styleId="4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50">
    <w:name w:val="font01"/>
    <w:basedOn w:val="31"/>
    <w:qFormat/>
    <w:uiPriority w:val="0"/>
    <w:rPr>
      <w:rFonts w:hint="eastAsia" w:ascii="宋体" w:hAnsi="宋体" w:eastAsia="宋体" w:cs="宋体"/>
      <w:color w:val="000000"/>
      <w:sz w:val="24"/>
      <w:szCs w:val="24"/>
      <w:u w:val="none"/>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3">
    <w:name w:val="标题4"/>
    <w:basedOn w:val="1"/>
    <w:qFormat/>
    <w:uiPriority w:val="0"/>
    <w:rPr>
      <w:b/>
    </w:rPr>
  </w:style>
  <w:style w:type="paragraph" w:customStyle="1" w:styleId="54">
    <w:name w:val="标题3"/>
    <w:basedOn w:val="1"/>
    <w:qFormat/>
    <w:uiPriority w:val="0"/>
    <w:pPr>
      <w:spacing w:beforeLines="50" w:afterLines="50"/>
    </w:pPr>
    <w:rPr>
      <w:b/>
      <w:sz w:val="30"/>
      <w:szCs w:val="48"/>
    </w:rPr>
  </w:style>
  <w:style w:type="character" w:customStyle="1" w:styleId="55">
    <w:name w:val="页脚 Char"/>
    <w:basedOn w:val="31"/>
    <w:link w:val="13"/>
    <w:qFormat/>
    <w:uiPriority w:val="99"/>
    <w:rPr>
      <w:rFonts w:ascii="仿宋" w:hAnsi="仿宋" w:eastAsia="仿宋_GB2312" w:cs="仿宋"/>
      <w:color w:val="000000"/>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customXml" Target="../customXml/item1.xml"/><Relationship Id="rId47" Type="http://schemas.openxmlformats.org/officeDocument/2006/relationships/image" Target="media/image11.png"/><Relationship Id="rId46" Type="http://schemas.openxmlformats.org/officeDocument/2006/relationships/image" Target="media/image10.jpeg"/><Relationship Id="rId45" Type="http://schemas.openxmlformats.org/officeDocument/2006/relationships/image" Target="media/image9.jpeg"/><Relationship Id="rId44" Type="http://schemas.openxmlformats.org/officeDocument/2006/relationships/image" Target="media/image8.jpeg"/><Relationship Id="rId43" Type="http://schemas.openxmlformats.org/officeDocument/2006/relationships/image" Target="media/image7.jpeg"/><Relationship Id="rId42" Type="http://schemas.openxmlformats.org/officeDocument/2006/relationships/image" Target="media/image6.jpeg"/><Relationship Id="rId41" Type="http://schemas.openxmlformats.org/officeDocument/2006/relationships/image" Target="media/image5.png"/><Relationship Id="rId40" Type="http://schemas.openxmlformats.org/officeDocument/2006/relationships/image" Target="media/image4.jpe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4D2688-58DF-4F33-8682-13FFAD6714C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39914</Words>
  <Characters>52170</Characters>
  <Lines>435</Lines>
  <Paragraphs>122</Paragraphs>
  <TotalTime>144</TotalTime>
  <ScaleCrop>false</ScaleCrop>
  <LinksUpToDate>false</LinksUpToDate>
  <CharactersWithSpaces>52404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2023-04-19T01:24:00Z</dcterms:created>
  <dc:creator>人间世</dc:creator>
  <cp:lastModifiedBy>zdf</cp:lastModifiedBy>
  <cp:lastPrinted>2023-07-04T03:28:00Z</cp:lastPrinted>
  <dcterms:modified xsi:type="dcterms:W3CDTF">2023-09-22T03:03:57Z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65617B1AC73645288F9AF00266D17EBC_13</vt:lpwstr>
  </property>
</Properties>
</file>