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nts/font1.odttf" ContentType="application/vnd.openxmlformats-officedocument.obfuscatedFont"/>
  <Override PartName="/word/fonts/font10.odttf" ContentType="application/vnd.openxmlformats-officedocument.obfuscatedFont"/>
  <Override PartName="/word/fonts/font11.odttf" ContentType="application/vnd.openxmlformats-officedocument.obfuscatedFont"/>
  <Override PartName="/word/fonts/font12.odttf" ContentType="application/vnd.openxmlformats-officedocument.obfuscatedFont"/>
  <Override PartName="/word/fonts/font13.odttf" ContentType="application/vnd.openxmlformats-officedocument.obfuscatedFont"/>
  <Override PartName="/word/fonts/font14.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fonts/font6.odttf" ContentType="application/vnd.openxmlformats-officedocument.obfuscatedFont"/>
  <Override PartName="/word/fonts/font7.odttf" ContentType="application/vnd.openxmlformats-officedocument.obfuscatedFont"/>
  <Override PartName="/word/fonts/font8.odttf" ContentType="application/vnd.openxmlformats-officedocument.obfuscatedFont"/>
  <Override PartName="/word/fonts/font9.odttf" ContentType="application/vnd.openxmlformats-officedocument.obfuscatedFont"/>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0E0E192">
      <w:pPr>
        <w:spacing w:line="240" w:lineRule="auto"/>
        <w:ind w:firstLine="0" w:firstLineChars="0"/>
        <w:jc w:val="center"/>
        <w:rPr>
          <w:rFonts w:ascii="方正小标宋简体" w:hAnsi="方正小标宋简体" w:eastAsia="方正小标宋简体" w:cs="方正小标宋简体"/>
          <w:sz w:val="44"/>
          <w:szCs w:val="44"/>
        </w:rPr>
      </w:pPr>
      <w:r>
        <w:rPr>
          <w:rFonts w:hint="eastAsia" w:ascii="方正小标宋简体" w:hAnsi="方正小标宋简体" w:eastAsia="方正小标宋简体" w:cs="方正小标宋简体"/>
          <w:sz w:val="44"/>
          <w:szCs w:val="44"/>
        </w:rPr>
        <w:t>济南市长清区国民经济和社会发展</w:t>
      </w:r>
    </w:p>
    <w:p w14:paraId="0A9EB1AF">
      <w:pPr>
        <w:spacing w:line="240" w:lineRule="auto"/>
        <w:ind w:firstLine="0" w:firstLineChars="0"/>
        <w:jc w:val="center"/>
        <w:rPr>
          <w:rFonts w:ascii="方正小标宋简体" w:hAnsi="方正小标宋简体" w:eastAsia="方正小标宋简体" w:cs="方正小标宋简体"/>
          <w:sz w:val="44"/>
          <w:szCs w:val="44"/>
        </w:rPr>
      </w:pPr>
      <w:r>
        <w:rPr>
          <w:rFonts w:hint="eastAsia" w:ascii="方正小标宋简体" w:hAnsi="方正小标宋简体" w:eastAsia="方正小标宋简体" w:cs="方正小标宋简体"/>
          <w:sz w:val="44"/>
          <w:szCs w:val="44"/>
        </w:rPr>
        <w:t>第十五个五年规划纲要</w:t>
      </w:r>
    </w:p>
    <w:p w14:paraId="4B96FDD6">
      <w:pPr>
        <w:overflowPunct w:val="0"/>
        <w:ind w:firstLine="0" w:firstLineChars="0"/>
        <w:jc w:val="center"/>
        <w:rPr>
          <w:rFonts w:ascii="楷体_GB2312" w:hAnsi="楷体_GB2312" w:eastAsia="楷体_GB2312" w:cs="楷体_GB2312"/>
          <w:sz w:val="36"/>
          <w:szCs w:val="36"/>
        </w:rPr>
      </w:pPr>
    </w:p>
    <w:p w14:paraId="7930376F">
      <w:pPr>
        <w:overflowPunct w:val="0"/>
        <w:ind w:firstLine="0" w:firstLineChars="0"/>
        <w:jc w:val="center"/>
        <w:rPr>
          <w:rFonts w:ascii="楷体_GB2312" w:hAnsi="楷体_GB2312" w:eastAsia="楷体_GB2312" w:cs="楷体_GB2312"/>
          <w:sz w:val="36"/>
          <w:szCs w:val="36"/>
        </w:rPr>
      </w:pPr>
    </w:p>
    <w:p w14:paraId="3602BAC7">
      <w:pPr>
        <w:overflowPunct w:val="0"/>
        <w:ind w:firstLine="0" w:firstLineChars="0"/>
        <w:jc w:val="center"/>
        <w:rPr>
          <w:rFonts w:ascii="楷体_GB2312" w:hAnsi="楷体_GB2312" w:eastAsia="楷体_GB2312" w:cs="楷体_GB2312"/>
          <w:sz w:val="36"/>
          <w:szCs w:val="36"/>
        </w:rPr>
      </w:pPr>
    </w:p>
    <w:p w14:paraId="1A3B13F9">
      <w:pPr>
        <w:overflowPunct w:val="0"/>
        <w:ind w:firstLine="0" w:firstLineChars="0"/>
        <w:jc w:val="center"/>
        <w:rPr>
          <w:rFonts w:ascii="楷体_GB2312" w:hAnsi="楷体_GB2312" w:eastAsia="楷体_GB2312" w:cs="楷体_GB2312"/>
          <w:sz w:val="36"/>
          <w:szCs w:val="36"/>
        </w:rPr>
      </w:pPr>
    </w:p>
    <w:p w14:paraId="78ADC6D6">
      <w:pPr>
        <w:overflowPunct w:val="0"/>
        <w:ind w:firstLine="0" w:firstLineChars="0"/>
        <w:jc w:val="center"/>
        <w:rPr>
          <w:rFonts w:ascii="楷体_GB2312" w:hAnsi="楷体_GB2312" w:eastAsia="楷体_GB2312" w:cs="楷体_GB2312"/>
          <w:sz w:val="36"/>
          <w:szCs w:val="36"/>
        </w:rPr>
      </w:pPr>
    </w:p>
    <w:p w14:paraId="4EE7C105">
      <w:pPr>
        <w:overflowPunct w:val="0"/>
        <w:ind w:firstLine="0" w:firstLineChars="0"/>
        <w:jc w:val="center"/>
        <w:rPr>
          <w:rFonts w:hint="eastAsia" w:ascii="楷体_GB2312" w:hAnsi="楷体_GB2312" w:eastAsia="楷体_GB2312" w:cs="楷体_GB2312"/>
          <w:sz w:val="36"/>
          <w:szCs w:val="36"/>
        </w:rPr>
      </w:pPr>
    </w:p>
    <w:p w14:paraId="118ED87C">
      <w:pPr>
        <w:overflowPunct w:val="0"/>
        <w:ind w:firstLine="0" w:firstLineChars="0"/>
        <w:jc w:val="center"/>
        <w:rPr>
          <w:rFonts w:hint="eastAsia" w:ascii="楷体_GB2312" w:hAnsi="楷体_GB2312" w:eastAsia="楷体_GB2312" w:cs="楷体_GB2312"/>
          <w:sz w:val="36"/>
          <w:szCs w:val="36"/>
        </w:rPr>
      </w:pPr>
    </w:p>
    <w:p w14:paraId="1C66983E">
      <w:pPr>
        <w:overflowPunct w:val="0"/>
        <w:ind w:firstLine="0" w:firstLineChars="0"/>
        <w:jc w:val="center"/>
        <w:rPr>
          <w:rFonts w:hint="eastAsia" w:ascii="楷体_GB2312" w:hAnsi="楷体_GB2312" w:eastAsia="楷体_GB2312" w:cs="楷体_GB2312"/>
          <w:sz w:val="36"/>
          <w:szCs w:val="36"/>
        </w:rPr>
      </w:pPr>
      <w:bookmarkStart w:id="228" w:name="_GoBack"/>
      <w:bookmarkEnd w:id="228"/>
    </w:p>
    <w:p w14:paraId="11567F98">
      <w:pPr>
        <w:overflowPunct w:val="0"/>
        <w:ind w:firstLine="0" w:firstLineChars="0"/>
        <w:jc w:val="center"/>
        <w:rPr>
          <w:rFonts w:ascii="楷体_GB2312" w:hAnsi="楷体_GB2312" w:eastAsia="楷体_GB2312" w:cs="楷体_GB2312"/>
          <w:sz w:val="36"/>
          <w:szCs w:val="36"/>
        </w:rPr>
      </w:pPr>
    </w:p>
    <w:p w14:paraId="73AF6B19">
      <w:pPr>
        <w:overflowPunct w:val="0"/>
        <w:spacing w:line="440" w:lineRule="exact"/>
        <w:ind w:firstLine="0" w:firstLineChars="0"/>
        <w:jc w:val="center"/>
        <w:rPr>
          <w:rFonts w:ascii="楷体_GB2312" w:hAnsi="楷体_GB2312" w:eastAsia="楷体_GB2312" w:cs="楷体_GB2312"/>
          <w:sz w:val="36"/>
          <w:szCs w:val="36"/>
        </w:rPr>
      </w:pPr>
    </w:p>
    <w:p w14:paraId="329A3B5B">
      <w:pPr>
        <w:overflowPunct w:val="0"/>
        <w:spacing w:line="440" w:lineRule="exact"/>
        <w:ind w:firstLine="0" w:firstLineChars="0"/>
        <w:jc w:val="center"/>
        <w:rPr>
          <w:rFonts w:ascii="楷体_GB2312" w:hAnsi="楷体_GB2312" w:eastAsia="楷体_GB2312" w:cs="楷体_GB2312"/>
          <w:sz w:val="36"/>
          <w:szCs w:val="36"/>
        </w:rPr>
      </w:pPr>
    </w:p>
    <w:p w14:paraId="39AC0179">
      <w:pPr>
        <w:overflowPunct w:val="0"/>
        <w:ind w:firstLine="0" w:firstLineChars="0"/>
        <w:jc w:val="center"/>
        <w:rPr>
          <w:rFonts w:ascii="楷体_GB2312" w:hAnsi="楷体_GB2312" w:eastAsia="楷体_GB2312" w:cs="楷体_GB2312"/>
          <w:sz w:val="36"/>
          <w:szCs w:val="36"/>
        </w:rPr>
      </w:pPr>
    </w:p>
    <w:p w14:paraId="59FFC21C">
      <w:pPr>
        <w:overflowPunct w:val="0"/>
        <w:ind w:firstLine="0" w:firstLineChars="0"/>
        <w:jc w:val="center"/>
        <w:rPr>
          <w:rFonts w:ascii="楷体_GB2312" w:hAnsi="楷体_GB2312" w:eastAsia="楷体_GB2312" w:cs="楷体_GB2312"/>
          <w:sz w:val="32"/>
          <w:szCs w:val="32"/>
        </w:rPr>
      </w:pPr>
    </w:p>
    <w:p w14:paraId="6812C018">
      <w:pPr>
        <w:overflowPunct w:val="0"/>
        <w:ind w:firstLine="0" w:firstLineChars="0"/>
        <w:jc w:val="center"/>
        <w:rPr>
          <w:rFonts w:ascii="楷体_GB2312" w:hAnsi="楷体_GB2312" w:eastAsia="楷体_GB2312" w:cs="楷体_GB2312"/>
          <w:b/>
          <w:sz w:val="32"/>
          <w:szCs w:val="32"/>
        </w:rPr>
      </w:pPr>
      <w:r>
        <w:rPr>
          <w:rFonts w:hint="eastAsia" w:ascii="楷体_GB2312" w:hAnsi="楷体_GB2312" w:eastAsia="楷体_GB2312" w:cs="楷体_GB2312"/>
          <w:b/>
          <w:sz w:val="32"/>
          <w:szCs w:val="32"/>
        </w:rPr>
        <w:t>2026年6月</w:t>
      </w:r>
    </w:p>
    <w:p w14:paraId="13A1F446">
      <w:pPr>
        <w:overflowPunct w:val="0"/>
        <w:ind w:firstLine="0" w:firstLineChars="0"/>
        <w:jc w:val="center"/>
        <w:rPr>
          <w:rFonts w:hint="eastAsia" w:ascii="楷体_GB2312" w:hAnsi="楷体_GB2312" w:eastAsia="楷体_GB2312" w:cs="楷体_GB2312"/>
          <w:sz w:val="36"/>
          <w:szCs w:val="36"/>
        </w:rPr>
      </w:pPr>
    </w:p>
    <w:p w14:paraId="5CD806C3">
      <w:pPr>
        <w:overflowPunct w:val="0"/>
        <w:ind w:firstLine="0" w:firstLineChars="0"/>
        <w:jc w:val="center"/>
        <w:rPr>
          <w:rFonts w:hint="eastAsia" w:ascii="楷体_GB2312" w:hAnsi="楷体_GB2312" w:eastAsia="楷体_GB2312" w:cs="楷体_GB2312"/>
          <w:sz w:val="36"/>
          <w:szCs w:val="36"/>
        </w:rPr>
      </w:pPr>
    </w:p>
    <w:p w14:paraId="3244D6DA">
      <w:pPr>
        <w:overflowPunct w:val="0"/>
        <w:ind w:firstLine="0" w:firstLineChars="0"/>
        <w:jc w:val="center"/>
        <w:rPr>
          <w:rFonts w:hint="eastAsia" w:ascii="方正小标宋简体" w:hAnsi="楷体_GB2312" w:eastAsia="方正小标宋简体" w:cs="楷体_GB2312"/>
          <w:sz w:val="44"/>
          <w:szCs w:val="44"/>
        </w:rPr>
        <w:sectPr>
          <w:headerReference r:id="rId5" w:type="default"/>
          <w:footerReference r:id="rId6" w:type="default"/>
          <w:pgSz w:w="11906" w:h="16838"/>
          <w:pgMar w:top="1701" w:right="1417" w:bottom="1587" w:left="1417" w:header="851" w:footer="992" w:gutter="0"/>
          <w:pgNumType w:fmt="numberInDash" w:start="1"/>
          <w:cols w:space="425" w:num="1"/>
          <w:docGrid w:type="lines" w:linePitch="312" w:charSpace="0"/>
        </w:sectPr>
      </w:pPr>
    </w:p>
    <w:p w14:paraId="2446DD63">
      <w:pPr>
        <w:overflowPunct w:val="0"/>
        <w:ind w:firstLine="0" w:firstLineChars="0"/>
        <w:jc w:val="center"/>
        <w:rPr>
          <w:rFonts w:hint="eastAsia" w:ascii="方正小标宋简体" w:hAnsi="楷体_GB2312" w:eastAsia="方正小标宋简体" w:cs="楷体_GB2312"/>
          <w:sz w:val="44"/>
          <w:szCs w:val="44"/>
        </w:rPr>
      </w:pPr>
      <w:r>
        <w:rPr>
          <w:rFonts w:hint="eastAsia" w:ascii="方正小标宋简体" w:hAnsi="楷体_GB2312" w:eastAsia="方正小标宋简体" w:cs="楷体_GB2312"/>
          <w:sz w:val="44"/>
          <w:szCs w:val="44"/>
        </w:rPr>
        <w:t>目  录</w:t>
      </w:r>
    </w:p>
    <w:p w14:paraId="5AD30770">
      <w:pPr>
        <w:overflowPunct w:val="0"/>
        <w:ind w:firstLine="0" w:firstLineChars="0"/>
        <w:jc w:val="left"/>
        <w:rPr>
          <w:rFonts w:hint="eastAsia" w:hAnsi="楷体_GB2312" w:cs="楷体_GB2312"/>
          <w:sz w:val="36"/>
          <w:szCs w:val="36"/>
        </w:rPr>
      </w:pPr>
    </w:p>
    <w:p w14:paraId="3D5FF2E4">
      <w:pPr>
        <w:overflowPunct w:val="0"/>
        <w:spacing w:line="580" w:lineRule="exact"/>
        <w:ind w:firstLine="0" w:firstLineChars="0"/>
        <w:jc w:val="distribute"/>
        <w:rPr>
          <w:rFonts w:hint="eastAsia" w:hAnsi="楷体_GB2312" w:cs="楷体_GB2312"/>
        </w:rPr>
      </w:pPr>
      <w:r>
        <w:rPr>
          <w:rFonts w:hint="eastAsia" w:ascii="楷体_GB2312" w:hAnsi="楷体_GB2312" w:eastAsia="楷体_GB2312" w:cs="楷体_GB2312"/>
        </w:rPr>
        <w:t>导  语</w:t>
      </w:r>
      <w:r>
        <w:rPr>
          <w:rFonts w:hint="eastAsia" w:hAnsi="楷体_GB2312" w:cs="楷体_GB2312"/>
        </w:rPr>
        <w:t>………………………………………………………………1</w:t>
      </w:r>
    </w:p>
    <w:p w14:paraId="1322AE0B">
      <w:pPr>
        <w:overflowPunct w:val="0"/>
        <w:spacing w:line="580" w:lineRule="exact"/>
        <w:ind w:firstLine="0" w:firstLineChars="0"/>
        <w:jc w:val="distribute"/>
        <w:rPr>
          <w:rFonts w:hint="eastAsia" w:hAnsi="楷体_GB2312" w:cs="楷体_GB2312"/>
        </w:rPr>
      </w:pPr>
      <w:r>
        <w:rPr>
          <w:rFonts w:hint="eastAsia" w:ascii="楷体_GB2312" w:hAnsi="楷体_GB2312" w:eastAsia="楷体_GB2312" w:cs="楷体_GB2312"/>
        </w:rPr>
        <w:t>启航篇</w:t>
      </w:r>
      <w:r>
        <w:rPr>
          <w:rFonts w:hint="eastAsia" w:hAnsi="楷体_GB2312" w:cs="楷体_GB2312"/>
        </w:rPr>
        <w:t>…………………………………</w:t>
      </w:r>
      <w:bookmarkStart w:id="0" w:name="OLE_LINK9"/>
      <w:r>
        <w:rPr>
          <w:rFonts w:hint="eastAsia" w:hAnsi="楷体_GB2312" w:cs="楷体_GB2312"/>
        </w:rPr>
        <w:t>………</w:t>
      </w:r>
      <w:bookmarkEnd w:id="0"/>
      <w:r>
        <w:rPr>
          <w:rFonts w:hint="eastAsia" w:hAnsi="楷体_GB2312" w:cs="楷体_GB2312"/>
        </w:rPr>
        <w:t>……………………2</w:t>
      </w:r>
    </w:p>
    <w:p w14:paraId="09702E3B">
      <w:pPr>
        <w:overflowPunct w:val="0"/>
        <w:spacing w:line="580" w:lineRule="exact"/>
        <w:ind w:firstLine="0" w:firstLineChars="0"/>
        <w:jc w:val="distribute"/>
        <w:rPr>
          <w:rFonts w:hint="eastAsia" w:hAnsi="楷体_GB2312" w:cs="楷体_GB2312"/>
        </w:rPr>
      </w:pPr>
      <w:r>
        <w:rPr>
          <w:rFonts w:hint="eastAsia" w:ascii="黑体" w:hAnsi="黑体" w:eastAsia="黑体" w:cs="楷体_GB2312"/>
        </w:rPr>
        <w:t>第一章  全面回顾五年成就，砥砺奋进开启新征程</w:t>
      </w:r>
      <w:r>
        <w:rPr>
          <w:rFonts w:hint="eastAsia" w:hAnsi="楷体_GB2312" w:cs="楷体_GB2312"/>
        </w:rPr>
        <w:t>……………2</w:t>
      </w:r>
    </w:p>
    <w:p w14:paraId="30318909">
      <w:pPr>
        <w:overflowPunct w:val="0"/>
        <w:spacing w:line="580" w:lineRule="exact"/>
        <w:ind w:firstLine="640"/>
        <w:jc w:val="distribute"/>
        <w:rPr>
          <w:rFonts w:hint="eastAsia" w:hAnsi="楷体_GB2312" w:cs="楷体_GB2312"/>
        </w:rPr>
      </w:pPr>
      <w:r>
        <w:rPr>
          <w:rFonts w:hint="eastAsia" w:hAnsi="楷体_GB2312" w:cs="楷体_GB2312"/>
        </w:rPr>
        <w:t>第一节  发展基础……………………………………………2</w:t>
      </w:r>
    </w:p>
    <w:p w14:paraId="6AA8D1E8">
      <w:pPr>
        <w:overflowPunct w:val="0"/>
        <w:spacing w:line="580" w:lineRule="exact"/>
        <w:ind w:firstLine="640"/>
        <w:jc w:val="distribute"/>
        <w:rPr>
          <w:rFonts w:hint="eastAsia" w:hAnsi="楷体_GB2312" w:cs="楷体_GB2312"/>
        </w:rPr>
      </w:pPr>
      <w:r>
        <w:rPr>
          <w:rFonts w:hint="eastAsia" w:hAnsi="楷体_GB2312" w:cs="楷体_GB2312"/>
        </w:rPr>
        <w:t>第二节  总体思路……………………………………………7</w:t>
      </w:r>
    </w:p>
    <w:p w14:paraId="66E80CA7">
      <w:pPr>
        <w:overflowPunct w:val="0"/>
        <w:spacing w:line="580" w:lineRule="exact"/>
        <w:ind w:firstLine="640"/>
        <w:jc w:val="distribute"/>
        <w:rPr>
          <w:rFonts w:hint="eastAsia" w:hAnsi="楷体_GB2312" w:cs="楷体_GB2312"/>
        </w:rPr>
      </w:pPr>
      <w:r>
        <w:rPr>
          <w:rFonts w:hint="eastAsia" w:hAnsi="楷体_GB2312" w:cs="楷体_GB2312"/>
        </w:rPr>
        <w:t>第三节  奋斗目标……………………………………………11</w:t>
      </w:r>
    </w:p>
    <w:p w14:paraId="07EB8DD0">
      <w:pPr>
        <w:overflowPunct w:val="0"/>
        <w:spacing w:line="580" w:lineRule="exact"/>
        <w:ind w:firstLine="0" w:firstLineChars="0"/>
        <w:jc w:val="distribute"/>
        <w:rPr>
          <w:rFonts w:hint="eastAsia" w:hAnsi="楷体_GB2312" w:cs="楷体_GB2312"/>
        </w:rPr>
      </w:pPr>
      <w:r>
        <w:rPr>
          <w:rFonts w:hint="eastAsia" w:ascii="楷体_GB2312" w:hAnsi="楷体_GB2312" w:eastAsia="楷体_GB2312" w:cs="楷体_GB2312"/>
        </w:rPr>
        <w:t>兴业篇</w:t>
      </w:r>
      <w:r>
        <w:rPr>
          <w:rFonts w:hint="eastAsia" w:hAnsi="楷体_GB2312" w:cs="楷体_GB2312"/>
        </w:rPr>
        <w:t>………………………………………………………………14</w:t>
      </w:r>
    </w:p>
    <w:p w14:paraId="2F03A5B7">
      <w:pPr>
        <w:overflowPunct w:val="0"/>
        <w:spacing w:line="580" w:lineRule="exact"/>
        <w:ind w:firstLine="0" w:firstLineChars="0"/>
        <w:jc w:val="distribute"/>
        <w:rPr>
          <w:rFonts w:hint="eastAsia" w:hAnsi="楷体_GB2312" w:cs="楷体_GB2312"/>
        </w:rPr>
      </w:pPr>
      <w:r>
        <w:rPr>
          <w:rFonts w:hint="eastAsia" w:ascii="黑体" w:hAnsi="黑体" w:eastAsia="黑体" w:cs="楷体_GB2312"/>
        </w:rPr>
        <w:t>第二章 加快构建现代化产业体系，筑牢实体经济根基</w:t>
      </w:r>
      <w:r>
        <w:rPr>
          <w:rFonts w:hint="eastAsia" w:hAnsi="楷体_GB2312" w:cs="楷体_GB2312"/>
        </w:rPr>
        <w:t>…………14</w:t>
      </w:r>
    </w:p>
    <w:p w14:paraId="159D7680">
      <w:pPr>
        <w:overflowPunct w:val="0"/>
        <w:spacing w:line="580" w:lineRule="exact"/>
        <w:ind w:firstLine="640"/>
        <w:jc w:val="distribute"/>
        <w:rPr>
          <w:rFonts w:hint="eastAsia" w:hAnsi="楷体_GB2312" w:cs="楷体_GB2312"/>
        </w:rPr>
      </w:pPr>
      <w:r>
        <w:rPr>
          <w:rFonts w:hint="eastAsia" w:hAnsi="楷体_GB2312" w:cs="楷体_GB2312"/>
        </w:rPr>
        <w:t>第一节  优化产业空间布局…………………………………14</w:t>
      </w:r>
    </w:p>
    <w:p w14:paraId="39F08FD9">
      <w:pPr>
        <w:overflowPunct w:val="0"/>
        <w:spacing w:line="580" w:lineRule="exact"/>
        <w:ind w:firstLine="640"/>
        <w:jc w:val="distribute"/>
        <w:rPr>
          <w:rFonts w:hint="eastAsia" w:hAnsi="楷体_GB2312" w:cs="楷体_GB2312"/>
        </w:rPr>
      </w:pPr>
      <w:r>
        <w:rPr>
          <w:rFonts w:hint="eastAsia" w:hAnsi="楷体_GB2312" w:cs="楷体_GB2312"/>
        </w:rPr>
        <w:t>第二节  做强做大做优“3+2”主导产业体系………………16</w:t>
      </w:r>
    </w:p>
    <w:p w14:paraId="1082D980">
      <w:pPr>
        <w:overflowPunct w:val="0"/>
        <w:spacing w:line="580" w:lineRule="exact"/>
        <w:ind w:firstLine="640"/>
        <w:jc w:val="distribute"/>
        <w:rPr>
          <w:rFonts w:hint="eastAsia" w:hAnsi="楷体_GB2312" w:cs="楷体_GB2312"/>
        </w:rPr>
      </w:pPr>
      <w:r>
        <w:rPr>
          <w:rFonts w:hint="eastAsia" w:hAnsi="楷体_GB2312" w:cs="楷体_GB2312"/>
        </w:rPr>
        <w:t>第三节  培育发展低空经济新兴产业………………………25</w:t>
      </w:r>
    </w:p>
    <w:p w14:paraId="73BF9D9E">
      <w:pPr>
        <w:overflowPunct w:val="0"/>
        <w:spacing w:line="580" w:lineRule="exact"/>
        <w:ind w:firstLine="640"/>
        <w:jc w:val="distribute"/>
        <w:rPr>
          <w:rFonts w:hint="eastAsia" w:hAnsi="楷体_GB2312" w:cs="楷体_GB2312"/>
        </w:rPr>
      </w:pPr>
      <w:r>
        <w:rPr>
          <w:rFonts w:hint="eastAsia" w:hAnsi="楷体_GB2312" w:cs="楷体_GB2312"/>
        </w:rPr>
        <w:t>第四节  优化提升传统产业…………………………………27</w:t>
      </w:r>
    </w:p>
    <w:p w14:paraId="0F010B1E">
      <w:pPr>
        <w:overflowPunct w:val="0"/>
        <w:spacing w:line="580" w:lineRule="exact"/>
        <w:ind w:firstLine="640"/>
        <w:jc w:val="distribute"/>
        <w:rPr>
          <w:rFonts w:hint="eastAsia" w:hAnsi="楷体_GB2312" w:cs="楷体_GB2312"/>
        </w:rPr>
      </w:pPr>
      <w:r>
        <w:rPr>
          <w:rFonts w:hint="eastAsia" w:hAnsi="楷体_GB2312" w:cs="楷体_GB2312"/>
        </w:rPr>
        <w:t>第五节  促进服务业优质高效发展…………………………30</w:t>
      </w:r>
    </w:p>
    <w:p w14:paraId="3EB0BE67">
      <w:pPr>
        <w:overflowPunct w:val="0"/>
        <w:spacing w:line="580" w:lineRule="exact"/>
        <w:ind w:firstLine="0" w:firstLineChars="0"/>
        <w:jc w:val="distribute"/>
        <w:rPr>
          <w:rFonts w:hint="eastAsia" w:hAnsi="楷体_GB2312" w:cs="楷体_GB2312"/>
        </w:rPr>
      </w:pPr>
      <w:r>
        <w:rPr>
          <w:rFonts w:hint="eastAsia" w:ascii="黑体" w:hAnsi="黑体" w:eastAsia="黑体" w:cs="楷体_GB2312"/>
        </w:rPr>
        <w:t>第三章  优化创新创业生态，打造产学研融合发展基地</w:t>
      </w:r>
      <w:r>
        <w:rPr>
          <w:rFonts w:hint="eastAsia" w:hAnsi="楷体_GB2312" w:cs="楷体_GB2312"/>
        </w:rPr>
        <w:t>………34</w:t>
      </w:r>
    </w:p>
    <w:p w14:paraId="2B6E8BF2">
      <w:pPr>
        <w:overflowPunct w:val="0"/>
        <w:spacing w:line="580" w:lineRule="exact"/>
        <w:ind w:firstLine="640"/>
        <w:jc w:val="distribute"/>
        <w:rPr>
          <w:rFonts w:hint="eastAsia" w:hAnsi="楷体_GB2312" w:cs="楷体_GB2312"/>
        </w:rPr>
      </w:pPr>
      <w:r>
        <w:rPr>
          <w:rFonts w:hint="eastAsia" w:hAnsi="楷体_GB2312" w:cs="楷体_GB2312"/>
        </w:rPr>
        <w:t>第一节  加强载体平台建设…………………………………34</w:t>
      </w:r>
    </w:p>
    <w:p w14:paraId="50BCCD7D">
      <w:pPr>
        <w:overflowPunct w:val="0"/>
        <w:spacing w:line="580" w:lineRule="exact"/>
        <w:ind w:firstLine="640"/>
        <w:jc w:val="distribute"/>
        <w:rPr>
          <w:rFonts w:hint="eastAsia" w:hAnsi="楷体_GB2312" w:cs="楷体_GB2312"/>
        </w:rPr>
      </w:pPr>
      <w:r>
        <w:rPr>
          <w:rFonts w:hint="eastAsia" w:hAnsi="楷体_GB2312" w:cs="楷体_GB2312"/>
        </w:rPr>
        <w:t>第二节  加速科技成果转化应用……………………………35</w:t>
      </w:r>
    </w:p>
    <w:p w14:paraId="25B6FE2B">
      <w:pPr>
        <w:overflowPunct w:val="0"/>
        <w:spacing w:line="580" w:lineRule="exact"/>
        <w:ind w:firstLine="640"/>
        <w:jc w:val="distribute"/>
        <w:rPr>
          <w:rFonts w:hint="eastAsia" w:hAnsi="楷体_GB2312" w:cs="楷体_GB2312"/>
        </w:rPr>
      </w:pPr>
      <w:r>
        <w:rPr>
          <w:rFonts w:hint="eastAsia" w:hAnsi="楷体_GB2312" w:cs="楷体_GB2312"/>
        </w:rPr>
        <w:t>第三节  营造一流创新发展生态……………………………36</w:t>
      </w:r>
    </w:p>
    <w:p w14:paraId="66647197">
      <w:pPr>
        <w:overflowPunct w:val="0"/>
        <w:spacing w:line="580" w:lineRule="exact"/>
        <w:ind w:firstLine="0" w:firstLineChars="0"/>
        <w:jc w:val="distribute"/>
        <w:rPr>
          <w:rFonts w:hint="eastAsia" w:hAnsi="楷体_GB2312" w:cs="楷体_GB2312"/>
        </w:rPr>
      </w:pPr>
      <w:r>
        <w:rPr>
          <w:rFonts w:hint="eastAsia" w:ascii="黑体" w:hAnsi="黑体" w:eastAsia="黑体" w:cs="楷体_GB2312"/>
        </w:rPr>
        <w:t>第四章  加快推进数智长清建设，构筑区域发展新优势</w:t>
      </w:r>
      <w:r>
        <w:rPr>
          <w:rFonts w:hint="eastAsia" w:hAnsi="楷体_GB2312" w:cs="楷体_GB2312"/>
        </w:rPr>
        <w:t>………39</w:t>
      </w:r>
    </w:p>
    <w:p w14:paraId="75AB9A27">
      <w:pPr>
        <w:overflowPunct w:val="0"/>
        <w:spacing w:line="580" w:lineRule="exact"/>
        <w:ind w:left="640" w:leftChars="200" w:firstLine="0" w:firstLineChars="0"/>
        <w:jc w:val="distribute"/>
        <w:rPr>
          <w:rFonts w:hint="eastAsia" w:hAnsi="楷体_GB2312" w:cs="楷体_GB2312"/>
        </w:rPr>
      </w:pPr>
      <w:r>
        <w:rPr>
          <w:rFonts w:hint="eastAsia" w:hAnsi="楷体_GB2312" w:cs="楷体_GB2312"/>
        </w:rPr>
        <w:t xml:space="preserve">第一节  </w:t>
      </w:r>
      <w:r>
        <w:rPr>
          <w:rFonts w:hint="eastAsia" w:hAnsi="楷体_GB2312" w:cs="楷体_GB2312"/>
          <w:spacing w:val="-12"/>
        </w:rPr>
        <w:t>锚定一个总目标，建设区域数智经济发展特色区……</w:t>
      </w:r>
      <w:r>
        <w:rPr>
          <w:rFonts w:hint="eastAsia" w:hAnsi="楷体_GB2312" w:cs="楷体_GB2312"/>
        </w:rPr>
        <w:t>39</w:t>
      </w:r>
    </w:p>
    <w:p w14:paraId="74D09DF8">
      <w:pPr>
        <w:overflowPunct w:val="0"/>
        <w:spacing w:line="580" w:lineRule="exact"/>
        <w:ind w:firstLine="640"/>
        <w:jc w:val="distribute"/>
        <w:rPr>
          <w:rFonts w:hint="eastAsia" w:hAnsi="楷体_GB2312" w:cs="楷体_GB2312"/>
        </w:rPr>
      </w:pPr>
      <w:r>
        <w:rPr>
          <w:rFonts w:hint="eastAsia" w:hAnsi="楷体_GB2312" w:cs="楷体_GB2312"/>
        </w:rPr>
        <w:t>第二节  夯实两大基础，激活数据新要素…………………40</w:t>
      </w:r>
    </w:p>
    <w:p w14:paraId="3C69828C">
      <w:pPr>
        <w:overflowPunct w:val="0"/>
        <w:spacing w:line="580" w:lineRule="exact"/>
        <w:ind w:left="320" w:leftChars="100" w:firstLine="320" w:firstLineChars="100"/>
        <w:jc w:val="distribute"/>
        <w:rPr>
          <w:rFonts w:hint="eastAsia" w:hAnsi="楷体_GB2312" w:cs="楷体_GB2312"/>
        </w:rPr>
      </w:pPr>
      <w:r>
        <w:rPr>
          <w:rFonts w:hint="eastAsia" w:hAnsi="楷体_GB2312" w:cs="楷体_GB2312"/>
        </w:rPr>
        <w:t>第三节  聚焦三大发展方向，培育数智经济核心动能……42</w:t>
      </w:r>
    </w:p>
    <w:p w14:paraId="641E7D9A">
      <w:pPr>
        <w:overflowPunct w:val="0"/>
        <w:spacing w:line="580" w:lineRule="exact"/>
        <w:ind w:firstLine="640"/>
        <w:jc w:val="distribute"/>
        <w:rPr>
          <w:rFonts w:hint="eastAsia" w:hAnsi="楷体_GB2312" w:cs="楷体_GB2312"/>
        </w:rPr>
        <w:sectPr>
          <w:footerReference r:id="rId7" w:type="default"/>
          <w:pgSz w:w="11906" w:h="16838"/>
          <w:pgMar w:top="1701" w:right="1417" w:bottom="1587" w:left="1417" w:header="851" w:footer="992" w:gutter="0"/>
          <w:pgNumType w:fmt="numberInDash" w:start="1"/>
          <w:cols w:space="425" w:num="1"/>
          <w:docGrid w:type="lines" w:linePitch="312" w:charSpace="0"/>
        </w:sectPr>
      </w:pPr>
    </w:p>
    <w:p w14:paraId="29B60AEF">
      <w:pPr>
        <w:overflowPunct w:val="0"/>
        <w:spacing w:line="580" w:lineRule="exact"/>
        <w:ind w:firstLine="640"/>
        <w:jc w:val="distribute"/>
        <w:rPr>
          <w:rFonts w:hint="eastAsia" w:hAnsi="楷体_GB2312" w:cs="楷体_GB2312"/>
        </w:rPr>
      </w:pPr>
      <w:r>
        <w:rPr>
          <w:rFonts w:hint="eastAsia" w:hAnsi="楷体_GB2312" w:cs="楷体_GB2312"/>
        </w:rPr>
        <w:t>第四节  强化四大支撑，加快数智社会建设………………44</w:t>
      </w:r>
    </w:p>
    <w:p w14:paraId="3422D06F">
      <w:pPr>
        <w:overflowPunct w:val="0"/>
        <w:spacing w:line="580" w:lineRule="exact"/>
        <w:ind w:firstLine="0" w:firstLineChars="0"/>
        <w:jc w:val="distribute"/>
        <w:rPr>
          <w:rFonts w:hint="eastAsia" w:hAnsi="楷体_GB2312" w:cs="楷体_GB2312"/>
        </w:rPr>
      </w:pPr>
      <w:r>
        <w:rPr>
          <w:rFonts w:hint="eastAsia" w:ascii="黑体" w:hAnsi="黑体" w:eastAsia="黑体" w:cs="楷体_GB2312"/>
        </w:rPr>
        <w:t>第五章  全方位扩大内需，主动服务和融入新发展格局</w:t>
      </w:r>
      <w:r>
        <w:rPr>
          <w:rFonts w:hint="eastAsia" w:hAnsi="楷体_GB2312" w:cs="楷体_GB2312"/>
        </w:rPr>
        <w:t>………46</w:t>
      </w:r>
    </w:p>
    <w:p w14:paraId="3EC1AB74">
      <w:pPr>
        <w:overflowPunct w:val="0"/>
        <w:spacing w:line="580" w:lineRule="exact"/>
        <w:ind w:firstLine="640"/>
        <w:jc w:val="distribute"/>
        <w:rPr>
          <w:rFonts w:hint="eastAsia" w:hAnsi="楷体_GB2312" w:cs="楷体_GB2312"/>
        </w:rPr>
      </w:pPr>
      <w:r>
        <w:rPr>
          <w:rFonts w:hint="eastAsia" w:hAnsi="楷体_GB2312" w:cs="楷体_GB2312"/>
        </w:rPr>
        <w:t>第一节  激活消费潜力，夯实内需增长根基………………46</w:t>
      </w:r>
    </w:p>
    <w:p w14:paraId="5A371D12">
      <w:pPr>
        <w:overflowPunct w:val="0"/>
        <w:spacing w:line="580" w:lineRule="exact"/>
        <w:ind w:firstLine="640"/>
        <w:jc w:val="distribute"/>
        <w:rPr>
          <w:rFonts w:hint="eastAsia" w:hAnsi="楷体_GB2312" w:cs="楷体_GB2312"/>
        </w:rPr>
      </w:pPr>
      <w:r>
        <w:rPr>
          <w:rFonts w:hint="eastAsia" w:hAnsi="楷体_GB2312" w:cs="楷体_GB2312"/>
        </w:rPr>
        <w:t>第二节  扩大有效投资，拓展释放内需活力………………48</w:t>
      </w:r>
    </w:p>
    <w:p w14:paraId="136645AD">
      <w:pPr>
        <w:overflowPunct w:val="0"/>
        <w:spacing w:line="580" w:lineRule="exact"/>
        <w:ind w:firstLine="0" w:firstLineChars="0"/>
        <w:jc w:val="distribute"/>
        <w:rPr>
          <w:rFonts w:hint="eastAsia" w:hAnsi="楷体_GB2312" w:cs="楷体_GB2312"/>
        </w:rPr>
      </w:pPr>
      <w:r>
        <w:rPr>
          <w:rFonts w:hint="eastAsia" w:ascii="楷体_GB2312" w:hAnsi="楷体_GB2312" w:eastAsia="楷体_GB2312" w:cs="楷体_GB2312"/>
        </w:rPr>
        <w:t>建设篇</w:t>
      </w:r>
      <w:r>
        <w:rPr>
          <w:rFonts w:hint="eastAsia" w:hAnsi="楷体_GB2312" w:cs="楷体_GB2312"/>
        </w:rPr>
        <w:t>………………………………………………………………51</w:t>
      </w:r>
    </w:p>
    <w:p w14:paraId="2A27894A">
      <w:pPr>
        <w:overflowPunct w:val="0"/>
        <w:spacing w:line="580" w:lineRule="exact"/>
        <w:ind w:firstLine="0" w:firstLineChars="0"/>
        <w:jc w:val="distribute"/>
        <w:rPr>
          <w:rFonts w:hint="eastAsia" w:hAnsi="楷体_GB2312" w:cs="楷体_GB2312"/>
        </w:rPr>
      </w:pPr>
      <w:r>
        <w:rPr>
          <w:rFonts w:hint="eastAsia" w:ascii="黑体" w:hAnsi="黑体" w:eastAsia="黑体" w:cs="楷体_GB2312"/>
        </w:rPr>
        <w:t>第六章  提升城市发展能级，推动区域协调发展</w:t>
      </w:r>
      <w:r>
        <w:rPr>
          <w:rFonts w:hint="eastAsia" w:hAnsi="楷体_GB2312" w:cs="楷体_GB2312"/>
        </w:rPr>
        <w:t>………………51</w:t>
      </w:r>
    </w:p>
    <w:p w14:paraId="1D6D9A65">
      <w:pPr>
        <w:overflowPunct w:val="0"/>
        <w:spacing w:line="580" w:lineRule="exact"/>
        <w:ind w:firstLine="640"/>
        <w:jc w:val="distribute"/>
        <w:rPr>
          <w:rFonts w:hint="eastAsia" w:hAnsi="楷体_GB2312" w:cs="楷体_GB2312"/>
        </w:rPr>
      </w:pPr>
      <w:r>
        <w:rPr>
          <w:rFonts w:hint="eastAsia" w:hAnsi="楷体_GB2312" w:cs="楷体_GB2312"/>
        </w:rPr>
        <w:t>第一节  提升城区综合能级…………………………………51</w:t>
      </w:r>
    </w:p>
    <w:p w14:paraId="76FA4CF4">
      <w:pPr>
        <w:overflowPunct w:val="0"/>
        <w:spacing w:line="580" w:lineRule="exact"/>
        <w:ind w:firstLine="640"/>
        <w:jc w:val="distribute"/>
        <w:rPr>
          <w:rFonts w:hint="eastAsia" w:hAnsi="楷体_GB2312" w:cs="楷体_GB2312"/>
        </w:rPr>
      </w:pPr>
      <w:r>
        <w:rPr>
          <w:rFonts w:hint="eastAsia" w:hAnsi="楷体_GB2312" w:cs="楷体_GB2312"/>
        </w:rPr>
        <w:t>第二节  深入推进新型城镇化建设…………………………54</w:t>
      </w:r>
    </w:p>
    <w:p w14:paraId="4E382990">
      <w:pPr>
        <w:overflowPunct w:val="0"/>
        <w:spacing w:line="580" w:lineRule="exact"/>
        <w:ind w:firstLine="640"/>
        <w:jc w:val="distribute"/>
        <w:rPr>
          <w:rFonts w:hint="eastAsia" w:hAnsi="楷体_GB2312" w:cs="楷体_GB2312"/>
        </w:rPr>
      </w:pPr>
      <w:r>
        <w:rPr>
          <w:rFonts w:hint="eastAsia" w:hAnsi="楷体_GB2312" w:cs="楷体_GB2312"/>
        </w:rPr>
        <w:t>第三节  推动跨区域联动发展………………………………55</w:t>
      </w:r>
    </w:p>
    <w:p w14:paraId="1EC99FA8">
      <w:pPr>
        <w:overflowPunct w:val="0"/>
        <w:spacing w:line="580" w:lineRule="exact"/>
        <w:ind w:firstLine="0" w:firstLineChars="0"/>
        <w:jc w:val="distribute"/>
        <w:rPr>
          <w:rFonts w:hint="eastAsia" w:hAnsi="楷体_GB2312" w:cs="楷体_GB2312"/>
        </w:rPr>
      </w:pPr>
      <w:r>
        <w:rPr>
          <w:rFonts w:hint="eastAsia" w:ascii="黑体" w:hAnsi="黑体" w:eastAsia="黑体" w:cs="楷体_GB2312"/>
        </w:rPr>
        <w:t xml:space="preserve">第七章  </w:t>
      </w:r>
      <w:r>
        <w:rPr>
          <w:rFonts w:hint="eastAsia" w:ascii="黑体" w:hAnsi="黑体" w:eastAsia="黑体" w:cs="楷体_GB2312"/>
          <w:spacing w:val="-8"/>
        </w:rPr>
        <w:t>持续完善基础设施建设，筑牢高质量发展坚实支撑</w:t>
      </w:r>
      <w:r>
        <w:rPr>
          <w:rFonts w:hint="eastAsia" w:hAnsi="楷体_GB2312" w:cs="楷体_GB2312"/>
        </w:rPr>
        <w:t>……57</w:t>
      </w:r>
    </w:p>
    <w:p w14:paraId="7E51BA2A">
      <w:pPr>
        <w:overflowPunct w:val="0"/>
        <w:spacing w:line="580" w:lineRule="exact"/>
        <w:ind w:firstLine="640"/>
        <w:jc w:val="distribute"/>
        <w:rPr>
          <w:rFonts w:hint="eastAsia" w:hAnsi="楷体_GB2312" w:cs="楷体_GB2312"/>
        </w:rPr>
      </w:pPr>
      <w:r>
        <w:rPr>
          <w:rFonts w:hint="eastAsia" w:hAnsi="楷体_GB2312" w:cs="楷体_GB2312"/>
        </w:rPr>
        <w:t>第一节 构建现代化综合交通体系…………………………57</w:t>
      </w:r>
    </w:p>
    <w:p w14:paraId="3A9A3F8F">
      <w:pPr>
        <w:overflowPunct w:val="0"/>
        <w:spacing w:line="580" w:lineRule="exact"/>
        <w:ind w:firstLine="640"/>
        <w:jc w:val="distribute"/>
        <w:rPr>
          <w:rFonts w:hint="eastAsia" w:hAnsi="楷体_GB2312" w:cs="楷体_GB2312"/>
        </w:rPr>
      </w:pPr>
      <w:r>
        <w:rPr>
          <w:rFonts w:hint="eastAsia" w:hAnsi="楷体_GB2312" w:cs="楷体_GB2312"/>
        </w:rPr>
        <w:t>第二节 强化能源基础设施支撑……………………………58</w:t>
      </w:r>
    </w:p>
    <w:p w14:paraId="3F8D744D">
      <w:pPr>
        <w:overflowPunct w:val="0"/>
        <w:spacing w:line="580" w:lineRule="exact"/>
        <w:ind w:firstLine="640"/>
        <w:jc w:val="distribute"/>
        <w:rPr>
          <w:rFonts w:hint="eastAsia" w:hAnsi="楷体_GB2312" w:cs="楷体_GB2312"/>
        </w:rPr>
      </w:pPr>
      <w:r>
        <w:rPr>
          <w:rFonts w:hint="eastAsia" w:hAnsi="楷体_GB2312" w:cs="楷体_GB2312"/>
        </w:rPr>
        <w:t>第三节 推进现代水网体系建设……………………………59</w:t>
      </w:r>
    </w:p>
    <w:p w14:paraId="5A6E19B0">
      <w:pPr>
        <w:overflowPunct w:val="0"/>
        <w:spacing w:line="580" w:lineRule="exact"/>
        <w:ind w:firstLine="0" w:firstLineChars="0"/>
        <w:jc w:val="distribute"/>
        <w:rPr>
          <w:rFonts w:hint="eastAsia" w:hAnsi="楷体_GB2312" w:cs="楷体_GB2312"/>
        </w:rPr>
      </w:pPr>
      <w:r>
        <w:rPr>
          <w:rFonts w:hint="eastAsia" w:ascii="楷体_GB2312" w:hAnsi="楷体_GB2312" w:eastAsia="楷体_GB2312" w:cs="楷体_GB2312"/>
        </w:rPr>
        <w:t>和美篇</w:t>
      </w:r>
      <w:r>
        <w:rPr>
          <w:rFonts w:hint="eastAsia" w:hAnsi="楷体_GB2312" w:cs="楷体_GB2312"/>
        </w:rPr>
        <w:t>………………………………………………………………61</w:t>
      </w:r>
    </w:p>
    <w:p w14:paraId="0F628966">
      <w:pPr>
        <w:overflowPunct w:val="0"/>
        <w:spacing w:line="580" w:lineRule="exact"/>
        <w:ind w:firstLine="0" w:firstLineChars="0"/>
        <w:jc w:val="distribute"/>
        <w:rPr>
          <w:rFonts w:hint="eastAsia" w:hAnsi="楷体_GB2312" w:cs="楷体_GB2312"/>
        </w:rPr>
      </w:pPr>
      <w:r>
        <w:rPr>
          <w:rFonts w:hint="eastAsia" w:ascii="黑体" w:hAnsi="黑体" w:eastAsia="黑体" w:cs="楷体_GB2312"/>
        </w:rPr>
        <w:t>第八章  全面推进乡村振兴，打造宜居宜业和美乡村</w:t>
      </w:r>
      <w:r>
        <w:rPr>
          <w:rFonts w:hint="eastAsia" w:hAnsi="楷体_GB2312" w:cs="楷体_GB2312"/>
        </w:rPr>
        <w:t>…………61</w:t>
      </w:r>
    </w:p>
    <w:p w14:paraId="4B1E4A41">
      <w:pPr>
        <w:overflowPunct w:val="0"/>
        <w:spacing w:line="580" w:lineRule="exact"/>
        <w:ind w:firstLine="640"/>
        <w:jc w:val="distribute"/>
        <w:rPr>
          <w:rFonts w:hint="eastAsia" w:hAnsi="楷体_GB2312" w:cs="楷体_GB2312"/>
        </w:rPr>
      </w:pPr>
      <w:r>
        <w:rPr>
          <w:rFonts w:hint="eastAsia" w:hAnsi="楷体_GB2312" w:cs="楷体_GB2312"/>
        </w:rPr>
        <w:t>第一节  严守耕地保护红线，夯实乡村振兴物质基础……61</w:t>
      </w:r>
    </w:p>
    <w:p w14:paraId="398EAA26">
      <w:pPr>
        <w:overflowPunct w:val="0"/>
        <w:spacing w:line="580" w:lineRule="exact"/>
        <w:ind w:firstLine="640"/>
        <w:jc w:val="distribute"/>
        <w:rPr>
          <w:rFonts w:hint="eastAsia" w:hAnsi="楷体_GB2312" w:cs="楷体_GB2312"/>
        </w:rPr>
      </w:pPr>
      <w:r>
        <w:rPr>
          <w:rFonts w:hint="eastAsia" w:hAnsi="楷体_GB2312" w:cs="楷体_GB2312"/>
        </w:rPr>
        <w:t>第二节  深化农村改革创新，激活乡村振兴内生动力……62</w:t>
      </w:r>
    </w:p>
    <w:p w14:paraId="72CB4C5C">
      <w:pPr>
        <w:overflowPunct w:val="0"/>
        <w:spacing w:line="580" w:lineRule="exact"/>
        <w:ind w:firstLine="640"/>
        <w:jc w:val="distribute"/>
        <w:rPr>
          <w:rFonts w:hint="eastAsia" w:hAnsi="楷体_GB2312" w:cs="楷体_GB2312"/>
        </w:rPr>
      </w:pPr>
      <w:r>
        <w:rPr>
          <w:rFonts w:hint="eastAsia" w:hAnsi="楷体_GB2312" w:cs="楷体_GB2312"/>
        </w:rPr>
        <w:t>第三节  发展特色现代农业，构建乡村振兴产业支撑……64</w:t>
      </w:r>
    </w:p>
    <w:p w14:paraId="6FA52875">
      <w:pPr>
        <w:overflowPunct w:val="0"/>
        <w:spacing w:line="580" w:lineRule="exact"/>
        <w:ind w:firstLine="0" w:firstLineChars="0"/>
        <w:jc w:val="distribute"/>
        <w:rPr>
          <w:rFonts w:hint="eastAsia" w:hAnsi="楷体_GB2312" w:cs="楷体_GB2312"/>
        </w:rPr>
      </w:pPr>
      <w:r>
        <w:rPr>
          <w:rFonts w:hint="eastAsia" w:ascii="黑体" w:hAnsi="黑体" w:eastAsia="黑体" w:cs="楷体_GB2312"/>
        </w:rPr>
        <w:t xml:space="preserve">第九章  </w:t>
      </w:r>
      <w:r>
        <w:rPr>
          <w:rFonts w:hint="eastAsia" w:ascii="黑体" w:hAnsi="黑体" w:eastAsia="黑体" w:cs="楷体_GB2312"/>
          <w:spacing w:val="-6"/>
        </w:rPr>
        <w:t>全面推动绿色低碳转型，打造生态文明建设示范区</w:t>
      </w:r>
      <w:r>
        <w:rPr>
          <w:rFonts w:hint="eastAsia" w:hAnsi="楷体_GB2312" w:cs="楷体_GB2312"/>
        </w:rPr>
        <w:t>……67</w:t>
      </w:r>
    </w:p>
    <w:p w14:paraId="42ED4B14">
      <w:pPr>
        <w:overflowPunct w:val="0"/>
        <w:spacing w:line="580" w:lineRule="exact"/>
        <w:ind w:firstLine="640"/>
        <w:jc w:val="distribute"/>
        <w:rPr>
          <w:rFonts w:hint="eastAsia" w:hAnsi="楷体_GB2312" w:cs="楷体_GB2312"/>
        </w:rPr>
      </w:pPr>
      <w:r>
        <w:rPr>
          <w:rFonts w:hint="eastAsia" w:hAnsi="楷体_GB2312" w:cs="楷体_GB2312"/>
        </w:rPr>
        <w:t>第一节  筑牢生态安全屏障，夯实绿色发展根基…………67</w:t>
      </w:r>
    </w:p>
    <w:p w14:paraId="48CB3990">
      <w:pPr>
        <w:overflowPunct w:val="0"/>
        <w:spacing w:line="580" w:lineRule="exact"/>
        <w:ind w:firstLine="640"/>
        <w:jc w:val="distribute"/>
        <w:rPr>
          <w:rFonts w:hint="eastAsia" w:hAnsi="楷体_GB2312" w:cs="楷体_GB2312"/>
        </w:rPr>
      </w:pPr>
      <w:r>
        <w:rPr>
          <w:rFonts w:hint="eastAsia" w:hAnsi="楷体_GB2312" w:cs="楷体_GB2312"/>
        </w:rPr>
        <w:t>第二节  聚焦关键领域转型，构建低碳发展体系…………69</w:t>
      </w:r>
    </w:p>
    <w:p w14:paraId="13F6B3FF">
      <w:pPr>
        <w:overflowPunct w:val="0"/>
        <w:spacing w:line="580" w:lineRule="exact"/>
        <w:ind w:firstLine="0" w:firstLineChars="0"/>
        <w:jc w:val="distribute"/>
        <w:rPr>
          <w:rFonts w:hint="eastAsia" w:hAnsi="楷体_GB2312" w:cs="楷体_GB2312"/>
        </w:rPr>
      </w:pPr>
      <w:r>
        <w:rPr>
          <w:rFonts w:hint="eastAsia" w:ascii="黑体" w:hAnsi="黑体" w:eastAsia="黑体" w:cs="楷体_GB2312"/>
        </w:rPr>
        <w:t>第十章  高质量推进文化建设，打造黄河流域文旅融合高地</w:t>
      </w:r>
      <w:r>
        <w:rPr>
          <w:rFonts w:hint="eastAsia" w:hAnsi="楷体_GB2312" w:cs="楷体_GB2312"/>
        </w:rPr>
        <w:t>…72</w:t>
      </w:r>
    </w:p>
    <w:p w14:paraId="49F1B721">
      <w:pPr>
        <w:overflowPunct w:val="0"/>
        <w:spacing w:line="580" w:lineRule="exact"/>
        <w:ind w:firstLine="640"/>
        <w:jc w:val="distribute"/>
        <w:rPr>
          <w:rFonts w:hint="eastAsia" w:hAnsi="楷体_GB2312" w:cs="楷体_GB2312"/>
        </w:rPr>
      </w:pPr>
      <w:r>
        <w:rPr>
          <w:rFonts w:hint="eastAsia" w:hAnsi="楷体_GB2312" w:cs="楷体_GB2312"/>
        </w:rPr>
        <w:t>第一节  筑牢思想根基，引领文化发展方向………………72</w:t>
      </w:r>
    </w:p>
    <w:p w14:paraId="36D373F3">
      <w:pPr>
        <w:overflowPunct w:val="0"/>
        <w:spacing w:line="580" w:lineRule="exact"/>
        <w:ind w:firstLine="640"/>
        <w:jc w:val="distribute"/>
        <w:rPr>
          <w:rFonts w:hint="eastAsia" w:hAnsi="楷体_GB2312" w:cs="楷体_GB2312"/>
        </w:rPr>
        <w:sectPr>
          <w:footerReference r:id="rId8" w:type="default"/>
          <w:pgSz w:w="11906" w:h="16838"/>
          <w:pgMar w:top="1701" w:right="1417" w:bottom="1587" w:left="1417" w:header="851" w:footer="992" w:gutter="0"/>
          <w:pgNumType w:fmt="numberInDash" w:start="1"/>
          <w:cols w:space="425" w:num="1"/>
          <w:docGrid w:type="lines" w:linePitch="312" w:charSpace="0"/>
        </w:sectPr>
      </w:pPr>
    </w:p>
    <w:p w14:paraId="1F49A721">
      <w:pPr>
        <w:overflowPunct w:val="0"/>
        <w:spacing w:line="580" w:lineRule="exact"/>
        <w:ind w:firstLine="640"/>
        <w:jc w:val="distribute"/>
        <w:rPr>
          <w:rFonts w:hint="eastAsia" w:hAnsi="楷体_GB2312" w:cs="楷体_GB2312"/>
        </w:rPr>
      </w:pPr>
      <w:r>
        <w:rPr>
          <w:rFonts w:hint="eastAsia" w:hAnsi="楷体_GB2312" w:cs="楷体_GB2312"/>
        </w:rPr>
        <w:t>第二节  传承历史文化，彰显长清文化底蕴………………74</w:t>
      </w:r>
    </w:p>
    <w:p w14:paraId="41CEF32E">
      <w:pPr>
        <w:overflowPunct w:val="0"/>
        <w:spacing w:line="580" w:lineRule="exact"/>
        <w:ind w:firstLine="640"/>
        <w:jc w:val="distribute"/>
        <w:rPr>
          <w:rFonts w:hint="eastAsia" w:hAnsi="楷体_GB2312" w:cs="楷体_GB2312"/>
        </w:rPr>
      </w:pPr>
      <w:r>
        <w:rPr>
          <w:rFonts w:hint="eastAsia" w:hAnsi="楷体_GB2312" w:cs="楷体_GB2312"/>
        </w:rPr>
        <w:t>第三节  完善公共文化服务，提升文化惠民水平…………75</w:t>
      </w:r>
    </w:p>
    <w:p w14:paraId="6FD34D6C">
      <w:pPr>
        <w:overflowPunct w:val="0"/>
        <w:spacing w:line="580" w:lineRule="exact"/>
        <w:ind w:firstLine="640"/>
        <w:jc w:val="distribute"/>
        <w:rPr>
          <w:rFonts w:hint="eastAsia" w:hAnsi="楷体_GB2312" w:cs="楷体_GB2312"/>
        </w:rPr>
      </w:pPr>
      <w:r>
        <w:rPr>
          <w:rFonts w:hint="eastAsia" w:hAnsi="楷体_GB2312" w:cs="楷体_GB2312"/>
        </w:rPr>
        <w:t>第四节  推动文旅康养深度融合，激活区域发展新动能…76</w:t>
      </w:r>
    </w:p>
    <w:p w14:paraId="456C5038">
      <w:pPr>
        <w:overflowPunct w:val="0"/>
        <w:spacing w:line="580" w:lineRule="exact"/>
        <w:ind w:firstLine="0" w:firstLineChars="0"/>
        <w:jc w:val="distribute"/>
        <w:rPr>
          <w:rFonts w:hint="eastAsia" w:hAnsi="楷体_GB2312" w:cs="楷体_GB2312"/>
        </w:rPr>
      </w:pPr>
      <w:r>
        <w:rPr>
          <w:rFonts w:hint="eastAsia" w:ascii="黑体" w:hAnsi="黑体" w:eastAsia="黑体" w:cs="楷体_GB2312"/>
        </w:rPr>
        <w:t xml:space="preserve">第十一章  </w:t>
      </w:r>
      <w:r>
        <w:rPr>
          <w:rFonts w:hint="eastAsia" w:ascii="黑体" w:hAnsi="黑体" w:eastAsia="黑体" w:cs="楷体_GB2312"/>
          <w:spacing w:val="-8"/>
        </w:rPr>
        <w:t>全方位增进民生福祉，建设宜居宜业的幸福长清</w:t>
      </w:r>
      <w:r>
        <w:rPr>
          <w:rFonts w:hint="eastAsia" w:hAnsi="楷体_GB2312" w:cs="楷体_GB2312"/>
        </w:rPr>
        <w:t>……80</w:t>
      </w:r>
    </w:p>
    <w:p w14:paraId="33CB30CF">
      <w:pPr>
        <w:overflowPunct w:val="0"/>
        <w:spacing w:line="580" w:lineRule="exact"/>
        <w:ind w:firstLine="640"/>
        <w:jc w:val="distribute"/>
        <w:rPr>
          <w:rFonts w:hint="eastAsia" w:hAnsi="楷体_GB2312" w:cs="楷体_GB2312"/>
        </w:rPr>
      </w:pPr>
      <w:r>
        <w:rPr>
          <w:rFonts w:hint="eastAsia" w:hAnsi="楷体_GB2312" w:cs="楷体_GB2312"/>
        </w:rPr>
        <w:t>第一节  建立健全就业增收体系……………………………80</w:t>
      </w:r>
    </w:p>
    <w:p w14:paraId="44478FE1">
      <w:pPr>
        <w:overflowPunct w:val="0"/>
        <w:spacing w:line="580" w:lineRule="exact"/>
        <w:ind w:firstLine="640"/>
        <w:jc w:val="distribute"/>
        <w:rPr>
          <w:rFonts w:hint="eastAsia" w:hAnsi="楷体_GB2312" w:cs="楷体_GB2312"/>
        </w:rPr>
      </w:pPr>
      <w:r>
        <w:rPr>
          <w:rFonts w:hint="eastAsia" w:hAnsi="楷体_GB2312" w:cs="楷体_GB2312"/>
        </w:rPr>
        <w:t>第二节  推进教育优质均衡发展……………………………82</w:t>
      </w:r>
    </w:p>
    <w:p w14:paraId="66786B5D">
      <w:pPr>
        <w:overflowPunct w:val="0"/>
        <w:spacing w:line="580" w:lineRule="exact"/>
        <w:ind w:firstLine="640"/>
        <w:jc w:val="distribute"/>
        <w:rPr>
          <w:rFonts w:hint="eastAsia" w:hAnsi="楷体_GB2312" w:cs="楷体_GB2312"/>
        </w:rPr>
      </w:pPr>
      <w:r>
        <w:rPr>
          <w:rFonts w:hint="eastAsia" w:hAnsi="楷体_GB2312" w:cs="楷体_GB2312"/>
        </w:rPr>
        <w:t>第三节  完善公共卫生服务体系……………………………84</w:t>
      </w:r>
    </w:p>
    <w:p w14:paraId="5DA2D041">
      <w:pPr>
        <w:overflowPunct w:val="0"/>
        <w:spacing w:line="580" w:lineRule="exact"/>
        <w:ind w:firstLine="640"/>
        <w:jc w:val="distribute"/>
        <w:rPr>
          <w:rFonts w:hint="eastAsia" w:hAnsi="楷体_GB2312" w:cs="楷体_GB2312"/>
        </w:rPr>
      </w:pPr>
      <w:r>
        <w:rPr>
          <w:rFonts w:hint="eastAsia" w:hAnsi="楷体_GB2312" w:cs="楷体_GB2312"/>
        </w:rPr>
        <w:t>第四节  切实提升社会保障水平……………………………86</w:t>
      </w:r>
    </w:p>
    <w:p w14:paraId="6C72E7CF">
      <w:pPr>
        <w:overflowPunct w:val="0"/>
        <w:spacing w:line="580" w:lineRule="exact"/>
        <w:ind w:firstLine="0" w:firstLineChars="0"/>
        <w:jc w:val="distribute"/>
        <w:rPr>
          <w:rFonts w:hint="eastAsia" w:hAnsi="楷体_GB2312" w:cs="楷体_GB2312"/>
        </w:rPr>
      </w:pPr>
      <w:r>
        <w:rPr>
          <w:rFonts w:hint="eastAsia" w:ascii="黑体" w:hAnsi="黑体" w:eastAsia="黑体" w:cs="楷体_GB2312"/>
        </w:rPr>
        <w:t>第十二章  全面贯彻总体国家安全观，高水平建设平安长清</w:t>
      </w:r>
      <w:r>
        <w:rPr>
          <w:rFonts w:hint="eastAsia" w:hAnsi="楷体_GB2312" w:cs="楷体_GB2312"/>
        </w:rPr>
        <w:t>…89</w:t>
      </w:r>
    </w:p>
    <w:p w14:paraId="3B741723">
      <w:pPr>
        <w:overflowPunct w:val="0"/>
        <w:spacing w:line="580" w:lineRule="exact"/>
        <w:ind w:firstLine="640"/>
        <w:jc w:val="distribute"/>
        <w:rPr>
          <w:rFonts w:hint="eastAsia" w:hAnsi="楷体_GB2312" w:cs="楷体_GB2312"/>
        </w:rPr>
      </w:pPr>
      <w:r>
        <w:rPr>
          <w:rFonts w:hint="eastAsia" w:hAnsi="楷体_GB2312" w:cs="楷体_GB2312"/>
        </w:rPr>
        <w:t xml:space="preserve">第一节  </w:t>
      </w:r>
      <w:r>
        <w:rPr>
          <w:rFonts w:hint="eastAsia" w:hAnsi="楷体_GB2312" w:cs="楷体_GB2312"/>
          <w:spacing w:val="-8"/>
        </w:rPr>
        <w:t>筑牢重点领域安全屏障，构建全域联动防护体系…</w:t>
      </w:r>
      <w:r>
        <w:rPr>
          <w:rFonts w:hint="eastAsia" w:hAnsi="楷体_GB2312" w:cs="楷体_GB2312"/>
        </w:rPr>
        <w:t>89</w:t>
      </w:r>
    </w:p>
    <w:p w14:paraId="1C414C00">
      <w:pPr>
        <w:overflowPunct w:val="0"/>
        <w:spacing w:line="580" w:lineRule="exact"/>
        <w:ind w:firstLine="640"/>
        <w:jc w:val="distribute"/>
        <w:rPr>
          <w:rFonts w:hint="eastAsia" w:hAnsi="楷体_GB2312" w:cs="楷体_GB2312"/>
        </w:rPr>
      </w:pPr>
      <w:r>
        <w:rPr>
          <w:rFonts w:hint="eastAsia" w:hAnsi="楷体_GB2312" w:cs="楷体_GB2312"/>
        </w:rPr>
        <w:t xml:space="preserve">第二节  </w:t>
      </w:r>
      <w:r>
        <w:rPr>
          <w:rFonts w:hint="eastAsia" w:hAnsi="楷体_GB2312" w:cs="楷体_GB2312"/>
          <w:spacing w:val="-14"/>
        </w:rPr>
        <w:t>完善公共安全治理体系，提高社会治理现代化水平</w:t>
      </w:r>
      <w:r>
        <w:rPr>
          <w:rFonts w:hint="eastAsia" w:hAnsi="楷体_GB2312" w:cs="楷体_GB2312"/>
        </w:rPr>
        <w:t>…91</w:t>
      </w:r>
    </w:p>
    <w:p w14:paraId="0E1F6600">
      <w:pPr>
        <w:overflowPunct w:val="0"/>
        <w:spacing w:line="580" w:lineRule="exact"/>
        <w:ind w:firstLine="0" w:firstLineChars="0"/>
        <w:jc w:val="distribute"/>
        <w:rPr>
          <w:rFonts w:hint="eastAsia" w:hAnsi="楷体_GB2312" w:cs="楷体_GB2312"/>
        </w:rPr>
      </w:pPr>
      <w:r>
        <w:rPr>
          <w:rFonts w:hint="eastAsia" w:ascii="楷体_GB2312" w:hAnsi="楷体_GB2312" w:eastAsia="楷体_GB2312" w:cs="楷体_GB2312"/>
        </w:rPr>
        <w:t>效能篇</w:t>
      </w:r>
      <w:r>
        <w:rPr>
          <w:rFonts w:hint="eastAsia" w:hAnsi="楷体_GB2312" w:cs="楷体_GB2312"/>
        </w:rPr>
        <w:t>………………………………………………………………94</w:t>
      </w:r>
    </w:p>
    <w:p w14:paraId="64296B7A">
      <w:pPr>
        <w:overflowPunct w:val="0"/>
        <w:spacing w:line="580" w:lineRule="exact"/>
        <w:ind w:firstLine="0" w:firstLineChars="0"/>
        <w:jc w:val="distribute"/>
        <w:rPr>
          <w:rFonts w:hint="eastAsia" w:hAnsi="楷体_GB2312" w:cs="楷体_GB2312"/>
        </w:rPr>
      </w:pPr>
      <w:r>
        <w:rPr>
          <w:rFonts w:hint="eastAsia" w:ascii="黑体" w:hAnsi="黑体" w:eastAsia="黑体" w:cs="楷体_GB2312"/>
        </w:rPr>
        <w:t>第十三章  持续推进改革开放，不断激发市场活力</w:t>
      </w:r>
      <w:r>
        <w:rPr>
          <w:rFonts w:hint="eastAsia" w:hAnsi="楷体_GB2312" w:cs="楷体_GB2312"/>
        </w:rPr>
        <w:t>……………94</w:t>
      </w:r>
    </w:p>
    <w:p w14:paraId="50E03D75">
      <w:pPr>
        <w:overflowPunct w:val="0"/>
        <w:spacing w:line="580" w:lineRule="exact"/>
        <w:ind w:firstLine="640"/>
        <w:jc w:val="distribute"/>
        <w:rPr>
          <w:rFonts w:hint="eastAsia" w:hAnsi="楷体_GB2312" w:cs="楷体_GB2312"/>
        </w:rPr>
      </w:pPr>
      <w:r>
        <w:rPr>
          <w:rFonts w:hint="eastAsia" w:hAnsi="楷体_GB2312" w:cs="楷体_GB2312"/>
        </w:rPr>
        <w:t>第一节  优化政务服务体系，筑牢市场发展保障…………94</w:t>
      </w:r>
    </w:p>
    <w:p w14:paraId="7F0792F8">
      <w:pPr>
        <w:overflowPunct w:val="0"/>
        <w:spacing w:line="580" w:lineRule="exact"/>
        <w:ind w:firstLine="640"/>
        <w:jc w:val="distribute"/>
        <w:rPr>
          <w:rFonts w:hint="eastAsia" w:hAnsi="楷体_GB2312" w:cs="楷体_GB2312"/>
        </w:rPr>
      </w:pPr>
      <w:r>
        <w:rPr>
          <w:rFonts w:hint="eastAsia" w:hAnsi="楷体_GB2312" w:cs="楷体_GB2312"/>
        </w:rPr>
        <w:t>第二节  深化市场化改革，破除体制机制障碍……………95</w:t>
      </w:r>
    </w:p>
    <w:p w14:paraId="2C760CC1">
      <w:pPr>
        <w:overflowPunct w:val="0"/>
        <w:spacing w:line="580" w:lineRule="exact"/>
        <w:ind w:firstLine="640"/>
        <w:jc w:val="distribute"/>
        <w:rPr>
          <w:rFonts w:hint="eastAsia" w:hAnsi="楷体_GB2312" w:cs="楷体_GB2312"/>
        </w:rPr>
      </w:pPr>
      <w:r>
        <w:rPr>
          <w:rFonts w:hint="eastAsia" w:hAnsi="楷体_GB2312" w:cs="楷体_GB2312"/>
        </w:rPr>
        <w:t>第三节  扩大对外开放合作，拓展市场发展空间…………97</w:t>
      </w:r>
    </w:p>
    <w:p w14:paraId="3DB74E58">
      <w:pPr>
        <w:overflowPunct w:val="0"/>
        <w:spacing w:line="580" w:lineRule="exact"/>
        <w:ind w:firstLine="0" w:firstLineChars="0"/>
        <w:jc w:val="distribute"/>
        <w:rPr>
          <w:rFonts w:hint="eastAsia" w:hAnsi="楷体_GB2312" w:cs="楷体_GB2312"/>
        </w:rPr>
      </w:pPr>
      <w:r>
        <w:rPr>
          <w:rFonts w:hint="eastAsia" w:ascii="黑体" w:hAnsi="黑体" w:eastAsia="黑体" w:cs="楷体_GB2312"/>
        </w:rPr>
        <w:t>第十四章  强化规划实施保障，健全科学有效新机制</w:t>
      </w:r>
      <w:r>
        <w:rPr>
          <w:rFonts w:hint="eastAsia" w:hAnsi="楷体_GB2312" w:cs="楷体_GB2312"/>
        </w:rPr>
        <w:t>…………99</w:t>
      </w:r>
    </w:p>
    <w:p w14:paraId="5451EFDC">
      <w:pPr>
        <w:overflowPunct w:val="0"/>
        <w:spacing w:line="580" w:lineRule="exact"/>
        <w:ind w:firstLine="640"/>
        <w:jc w:val="distribute"/>
        <w:rPr>
          <w:rFonts w:hint="eastAsia" w:hAnsi="楷体_GB2312" w:cs="楷体_GB2312"/>
        </w:rPr>
      </w:pPr>
      <w:r>
        <w:rPr>
          <w:rFonts w:hint="eastAsia" w:hAnsi="楷体_GB2312" w:cs="楷体_GB2312"/>
        </w:rPr>
        <w:t>第一节  加强党的全面领导…………………………………99</w:t>
      </w:r>
    </w:p>
    <w:p w14:paraId="225CC262">
      <w:pPr>
        <w:overflowPunct w:val="0"/>
        <w:spacing w:line="580" w:lineRule="exact"/>
        <w:ind w:firstLine="640"/>
        <w:jc w:val="distribute"/>
        <w:rPr>
          <w:rFonts w:hint="eastAsia" w:hAnsi="楷体_GB2312" w:cs="楷体_GB2312"/>
        </w:rPr>
      </w:pPr>
      <w:r>
        <w:rPr>
          <w:rFonts w:hint="eastAsia" w:hAnsi="楷体_GB2312" w:cs="楷体_GB2312"/>
        </w:rPr>
        <w:t>第二节  统筹要素保障……………………………………100</w:t>
      </w:r>
    </w:p>
    <w:p w14:paraId="13029812">
      <w:pPr>
        <w:overflowPunct w:val="0"/>
        <w:spacing w:line="580" w:lineRule="exact"/>
        <w:ind w:firstLine="640"/>
        <w:jc w:val="distribute"/>
        <w:rPr>
          <w:rFonts w:hint="eastAsia" w:hAnsi="楷体_GB2312" w:cs="楷体_GB2312"/>
        </w:rPr>
      </w:pPr>
      <w:r>
        <w:rPr>
          <w:rFonts w:hint="eastAsia" w:hAnsi="楷体_GB2312" w:cs="楷体_GB2312"/>
        </w:rPr>
        <w:t>第三节  健全实施机制……………………………………101</w:t>
      </w:r>
    </w:p>
    <w:p w14:paraId="6E998118">
      <w:pPr>
        <w:overflowPunct w:val="0"/>
        <w:spacing w:line="580" w:lineRule="exact"/>
        <w:ind w:firstLine="640"/>
        <w:jc w:val="distribute"/>
        <w:rPr>
          <w:rFonts w:hint="eastAsia" w:hAnsi="楷体_GB2312" w:cs="楷体_GB2312"/>
        </w:rPr>
      </w:pPr>
      <w:r>
        <w:rPr>
          <w:rFonts w:hint="eastAsia" w:hAnsi="楷体_GB2312" w:cs="楷体_GB2312"/>
        </w:rPr>
        <w:t>第四节  引导社会广泛参与………………………………102</w:t>
      </w:r>
    </w:p>
    <w:p w14:paraId="0CDDDB52">
      <w:pPr>
        <w:overflowPunct w:val="0"/>
        <w:ind w:firstLine="0" w:firstLineChars="0"/>
        <w:jc w:val="center"/>
        <w:rPr>
          <w:rFonts w:hint="eastAsia" w:ascii="楷体_GB2312" w:hAnsi="楷体_GB2312" w:eastAsia="楷体_GB2312" w:cs="楷体_GB2312"/>
          <w:sz w:val="36"/>
          <w:szCs w:val="36"/>
        </w:rPr>
      </w:pPr>
    </w:p>
    <w:p w14:paraId="7471E006">
      <w:pPr>
        <w:overflowPunct w:val="0"/>
        <w:ind w:firstLine="0" w:firstLineChars="0"/>
        <w:jc w:val="center"/>
        <w:rPr>
          <w:rFonts w:hint="eastAsia" w:ascii="楷体_GB2312" w:hAnsi="楷体_GB2312" w:eastAsia="楷体_GB2312" w:cs="楷体_GB2312"/>
          <w:sz w:val="36"/>
          <w:szCs w:val="36"/>
        </w:rPr>
      </w:pPr>
    </w:p>
    <w:p w14:paraId="2C6D5C58">
      <w:pPr>
        <w:pStyle w:val="2"/>
        <w:rPr>
          <w:rFonts w:ascii="楷体_GB2312" w:hAnsi="楷体_GB2312"/>
          <w:sz w:val="32"/>
          <w:szCs w:val="32"/>
        </w:rPr>
      </w:pPr>
      <w:bookmarkStart w:id="1" w:name="_Toc1025045397"/>
      <w:bookmarkStart w:id="2" w:name="_Toc233272352"/>
      <w:r>
        <w:rPr>
          <w:rFonts w:hint="eastAsia"/>
          <w:sz w:val="32"/>
          <w:szCs w:val="32"/>
        </w:rPr>
        <w:t>导  语</w:t>
      </w:r>
      <w:bookmarkEnd w:id="1"/>
      <w:bookmarkEnd w:id="2"/>
    </w:p>
    <w:p w14:paraId="1E4D7BE5">
      <w:pPr>
        <w:numPr>
          <w:ilvl w:val="255"/>
          <w:numId w:val="0"/>
        </w:numPr>
        <w:overflowPunct w:val="0"/>
        <w:ind w:firstLine="640" w:firstLineChars="200"/>
        <w:jc w:val="left"/>
        <w:rPr>
          <w:rFonts w:hint="eastAsia"/>
        </w:rPr>
      </w:pPr>
    </w:p>
    <w:p w14:paraId="6942193D">
      <w:pPr>
        <w:keepNext w:val="0"/>
        <w:keepLines w:val="0"/>
        <w:pageBreakBefore w:val="0"/>
        <w:numPr>
          <w:ilvl w:val="255"/>
          <w:numId w:val="0"/>
        </w:numPr>
        <w:wordWrap/>
        <w:overflowPunct w:val="0"/>
        <w:topLinePunct w:val="0"/>
        <w:bidi w:val="0"/>
        <w:spacing w:line="560" w:lineRule="exact"/>
        <w:ind w:firstLine="640" w:firstLineChars="200"/>
        <w:jc w:val="left"/>
      </w:pPr>
      <w:r>
        <w:rPr>
          <w:rFonts w:hint="eastAsia"/>
        </w:rPr>
        <w:t>济南市长清区国民经济和社会发展第十五个五年（2026-2030年）规划纲要，以习近平新时代中国特色社会主义思想为指导，深入贯彻党的二十届四中全会精神，认真落实中共山东省委十二届十次全会、中共济南市委十二届九次全会部署，根据《中共济南市长清区委关于制定济南市长清区国民经济和社会发展第十五个五年规划的建议》编制，主要阐明全区经济社会发展战略，明确政府工作重点，引导规范经营主体行为，是“十五五”时期长清新时代社会主义现代化建设的宏伟蓝图，是全区人民共同的行动纲领。</w:t>
      </w:r>
    </w:p>
    <w:p w14:paraId="544BB975">
      <w:pPr>
        <w:keepNext w:val="0"/>
        <w:keepLines w:val="0"/>
        <w:pageBreakBefore w:val="0"/>
        <w:wordWrap/>
        <w:topLinePunct w:val="0"/>
        <w:bidi w:val="0"/>
        <w:spacing w:line="560" w:lineRule="exact"/>
        <w:ind w:firstLine="640"/>
      </w:pPr>
      <w:r>
        <w:rPr>
          <w:rFonts w:hint="eastAsia"/>
        </w:rPr>
        <w:br w:type="page"/>
      </w:r>
      <w:bookmarkStart w:id="3" w:name="_Toc1651431302"/>
      <w:bookmarkStart w:id="4" w:name="_Toc2062593908"/>
      <w:bookmarkStart w:id="5" w:name="_Toc920165389"/>
    </w:p>
    <w:p w14:paraId="32704CE6">
      <w:pPr>
        <w:pStyle w:val="2"/>
        <w:keepNext w:val="0"/>
        <w:keepLines w:val="0"/>
        <w:pageBreakBefore w:val="0"/>
        <w:wordWrap/>
        <w:topLinePunct w:val="0"/>
        <w:bidi w:val="0"/>
        <w:spacing w:line="560" w:lineRule="exact"/>
        <w:rPr>
          <w:sz w:val="32"/>
          <w:szCs w:val="32"/>
        </w:rPr>
      </w:pPr>
      <w:bookmarkStart w:id="6" w:name="_Toc233272353"/>
      <w:r>
        <w:rPr>
          <w:rFonts w:hint="eastAsia"/>
          <w:sz w:val="32"/>
          <w:szCs w:val="32"/>
        </w:rPr>
        <w:t>启航篇</w:t>
      </w:r>
      <w:bookmarkEnd w:id="3"/>
      <w:bookmarkEnd w:id="4"/>
      <w:bookmarkEnd w:id="5"/>
      <w:bookmarkEnd w:id="6"/>
    </w:p>
    <w:p w14:paraId="550CA556">
      <w:pPr>
        <w:pStyle w:val="3"/>
        <w:keepNext w:val="0"/>
        <w:keepLines w:val="0"/>
        <w:pageBreakBefore w:val="0"/>
        <w:wordWrap/>
        <w:topLinePunct w:val="0"/>
        <w:bidi w:val="0"/>
        <w:spacing w:line="560" w:lineRule="exact"/>
        <w:rPr>
          <w:rFonts w:ascii="仿宋_GB2312" w:hAnsi="Times New Roman" w:eastAsia="仿宋_GB2312" w:cs="Times New Roman"/>
          <w:szCs w:val="32"/>
        </w:rPr>
      </w:pPr>
      <w:bookmarkStart w:id="7" w:name="_Toc1931975959"/>
      <w:bookmarkStart w:id="8" w:name="_Toc98765239"/>
      <w:bookmarkStart w:id="9" w:name="_Toc1832054565"/>
      <w:bookmarkStart w:id="10" w:name="_Toc233272354"/>
      <w:r>
        <w:rPr>
          <w:rFonts w:hint="eastAsia"/>
        </w:rPr>
        <w:t>第一章  全面回顾五年成就，砥砺奋进开启新征程</w:t>
      </w:r>
      <w:bookmarkEnd w:id="7"/>
      <w:bookmarkEnd w:id="8"/>
      <w:bookmarkEnd w:id="9"/>
      <w:bookmarkEnd w:id="10"/>
    </w:p>
    <w:p w14:paraId="40B24AC1">
      <w:pPr>
        <w:keepNext w:val="0"/>
        <w:keepLines w:val="0"/>
        <w:pageBreakBefore w:val="0"/>
        <w:wordWrap/>
        <w:topLinePunct w:val="0"/>
        <w:bidi w:val="0"/>
        <w:spacing w:line="560" w:lineRule="exact"/>
        <w:ind w:firstLine="640"/>
        <w:rPr>
          <w:rFonts w:hint="eastAsia"/>
        </w:rPr>
      </w:pPr>
      <w:bookmarkStart w:id="11" w:name="_Toc2086582762"/>
    </w:p>
    <w:p w14:paraId="5C69DD62">
      <w:pPr>
        <w:keepNext w:val="0"/>
        <w:keepLines w:val="0"/>
        <w:pageBreakBefore w:val="0"/>
        <w:wordWrap/>
        <w:topLinePunct w:val="0"/>
        <w:bidi w:val="0"/>
        <w:spacing w:line="560" w:lineRule="exact"/>
        <w:ind w:firstLine="640"/>
      </w:pPr>
      <w:r>
        <w:rPr>
          <w:rFonts w:hint="eastAsia"/>
        </w:rPr>
        <w:t>“十五五”时期是我国基本实现社会主义现代化夯实基础、全面发力的关键时期，也是长清区融入新发展格局、推动高质量发展的关键五年。要深刻认识和准确把握“十五五”时期我区在现代化进程中的历史方位，持续攻坚、接续奋斗，不断开创新时代社会</w:t>
      </w:r>
      <w:r>
        <w:rPr>
          <w:rFonts w:hint="eastAsia"/>
          <w:lang w:eastAsia="zh-CN"/>
        </w:rPr>
        <w:t>主义</w:t>
      </w:r>
      <w:r>
        <w:rPr>
          <w:rFonts w:hint="eastAsia"/>
        </w:rPr>
        <w:t>现代化建设新局面。</w:t>
      </w:r>
      <w:bookmarkEnd w:id="11"/>
    </w:p>
    <w:p w14:paraId="1A15CE12">
      <w:pPr>
        <w:pStyle w:val="4"/>
        <w:keepNext w:val="0"/>
        <w:keepLines w:val="0"/>
        <w:pageBreakBefore w:val="0"/>
        <w:wordWrap/>
        <w:topLinePunct w:val="0"/>
        <w:bidi w:val="0"/>
        <w:spacing w:line="560" w:lineRule="exact"/>
      </w:pPr>
      <w:bookmarkStart w:id="12" w:name="_Toc147543544"/>
      <w:bookmarkStart w:id="13" w:name="_Toc54071437"/>
      <w:bookmarkStart w:id="14" w:name="_Toc233272355"/>
      <w:r>
        <w:rPr>
          <w:rFonts w:hint="eastAsia"/>
        </w:rPr>
        <w:t>第一节 发展基础</w:t>
      </w:r>
      <w:bookmarkEnd w:id="12"/>
      <w:bookmarkEnd w:id="13"/>
      <w:bookmarkEnd w:id="14"/>
    </w:p>
    <w:p w14:paraId="005B5261">
      <w:pPr>
        <w:keepNext w:val="0"/>
        <w:keepLines w:val="0"/>
        <w:pageBreakBefore w:val="0"/>
        <w:wordWrap/>
        <w:overflowPunct w:val="0"/>
        <w:topLinePunct w:val="0"/>
        <w:bidi w:val="0"/>
        <w:spacing w:line="560" w:lineRule="exact"/>
        <w:ind w:firstLine="640"/>
      </w:pPr>
      <w:r>
        <w:rPr>
          <w:rFonts w:hint="eastAsia" w:hAnsi="Times New Roman" w:cs="Times New Roman"/>
        </w:rPr>
        <w:t>“十四五”时期，是长清区发展历史上极不寻常、极不平凡的五年。在以习近平同志为核心的党中央坚强领导下，长清区委、区人民政府坚持以习近平新时代中国特色社会主义思想为指导，团结带领全区人民攻坚克难、锐意进取，按照市委、市人民政府工作部署，锚定“五个坚持”“七区联动”发展路径，完整准确全面贯彻新发展理念，主动服务和融入新发展格局，坚定不移推动高质量发展，有效应对各种风险挑战，接续开展“项目突破年”“项目深化年”“项目提升年”，奋发有为推动各项事业，全区经济社会发展取得新成就</w:t>
      </w:r>
      <w:r>
        <w:rPr>
          <w:rFonts w:hint="eastAsia"/>
        </w:rPr>
        <w:t>。</w:t>
      </w:r>
    </w:p>
    <w:p w14:paraId="568FB6E6">
      <w:pPr>
        <w:keepNext w:val="0"/>
        <w:keepLines w:val="0"/>
        <w:pageBreakBefore w:val="0"/>
        <w:widowControl/>
        <w:wordWrap/>
        <w:topLinePunct w:val="0"/>
        <w:bidi w:val="0"/>
        <w:spacing w:line="560" w:lineRule="exact"/>
        <w:ind w:firstLine="643"/>
        <w:rPr>
          <w:rFonts w:hAnsi="Times New Roman" w:cs="Times New Roman"/>
        </w:rPr>
      </w:pPr>
      <w:r>
        <w:rPr>
          <w:rFonts w:hint="eastAsia"/>
          <w:b/>
          <w:bCs/>
        </w:rPr>
        <w:t>综</w:t>
      </w:r>
      <w:r>
        <w:rPr>
          <w:b/>
          <w:bCs/>
        </w:rPr>
        <w:t>合实力</w:t>
      </w:r>
      <w:r>
        <w:rPr>
          <w:rFonts w:hint="eastAsia"/>
          <w:b/>
          <w:bCs/>
        </w:rPr>
        <w:t>不断增强</w:t>
      </w:r>
      <w:r>
        <w:rPr>
          <w:b/>
          <w:bCs/>
        </w:rPr>
        <w:t>。</w:t>
      </w:r>
      <w:r>
        <w:rPr>
          <w:rFonts w:hint="eastAsia" w:hAnsi="Times New Roman" w:cs="Times New Roman"/>
        </w:rPr>
        <w:t>始终坚持发展第一要务不动摇，主要经济指标保持稳定</w:t>
      </w:r>
      <w:r>
        <w:rPr>
          <w:rFonts w:hAnsi="Times New Roman" w:cs="Times New Roman"/>
        </w:rPr>
        <w:t>增长，</w:t>
      </w:r>
      <w:r>
        <w:rPr>
          <w:rFonts w:hint="eastAsia" w:hAnsi="Times New Roman" w:cs="Times New Roman"/>
        </w:rPr>
        <w:t>地区生产总值实现473.9亿元，总量较“十三五”末增长32.2%，经济发展质量和效益显著提升。金融支撑作用</w:t>
      </w:r>
      <w:r>
        <w:rPr>
          <w:rFonts w:hAnsi="Times New Roman" w:cs="Times New Roman"/>
        </w:rPr>
        <w:t>更加有力</w:t>
      </w:r>
      <w:r>
        <w:rPr>
          <w:rFonts w:hint="eastAsia" w:hAnsi="Times New Roman" w:cs="Times New Roman"/>
        </w:rPr>
        <w:t>，金融机构本外币存款余额、贷款余额分别达到766.7亿元、559.4亿元，金融服务实体经济的能力不断强化。全区常住人口达到65.7万人，城镇化率达到63.95%，分别增加5.9万人</w:t>
      </w:r>
      <w:r>
        <w:rPr>
          <w:rFonts w:hint="eastAsia"/>
        </w:rPr>
        <w:t>、提高6.7个百分点，</w:t>
      </w:r>
      <w:r>
        <w:rPr>
          <w:rFonts w:hint="eastAsia" w:hAnsi="Times New Roman" w:cs="Times New Roman"/>
        </w:rPr>
        <w:t>人口集聚效应持续显现，城市综合承载能力稳步增强。</w:t>
      </w:r>
      <w:r>
        <w:rPr>
          <w:rFonts w:hAnsi="Times New Roman" w:cs="Times New Roman"/>
        </w:rPr>
        <w:t>市场</w:t>
      </w:r>
      <w:r>
        <w:rPr>
          <w:rFonts w:hint="eastAsia" w:hAnsi="Times New Roman" w:cs="Times New Roman"/>
        </w:rPr>
        <w:t>经营</w:t>
      </w:r>
      <w:r>
        <w:rPr>
          <w:rFonts w:hAnsi="Times New Roman" w:cs="Times New Roman"/>
        </w:rPr>
        <w:t>主体</w:t>
      </w:r>
      <w:r>
        <w:rPr>
          <w:rFonts w:hint="eastAsia" w:hAnsi="Times New Roman" w:cs="Times New Roman"/>
        </w:rPr>
        <w:t>总量</w:t>
      </w:r>
      <w:r>
        <w:rPr>
          <w:rFonts w:hAnsi="Times New Roman" w:cs="Times New Roman"/>
        </w:rPr>
        <w:t>超过</w:t>
      </w:r>
      <w:r>
        <w:rPr>
          <w:rFonts w:hint="eastAsia" w:hAnsi="Times New Roman" w:cs="Times New Roman"/>
        </w:rPr>
        <w:t>7</w:t>
      </w:r>
      <w:r>
        <w:rPr>
          <w:rFonts w:hAnsi="Times New Roman" w:cs="Times New Roman"/>
        </w:rPr>
        <w:t>万户，</w:t>
      </w:r>
      <w:r>
        <w:rPr>
          <w:rFonts w:hint="eastAsia" w:hAnsi="Times New Roman" w:cs="Times New Roman"/>
        </w:rPr>
        <w:t>累计培育“四上”企业620家</w:t>
      </w:r>
      <w:r>
        <w:rPr>
          <w:rFonts w:hAnsi="Times New Roman" w:cs="Times New Roman"/>
        </w:rPr>
        <w:t>，</w:t>
      </w:r>
      <w:r>
        <w:rPr>
          <w:rFonts w:hint="eastAsia" w:hAnsi="Times New Roman" w:cs="Times New Roman"/>
        </w:rPr>
        <w:t>境内外上市企业达到2家，新三板挂牌企业达到2家，</w:t>
      </w:r>
      <w:r>
        <w:rPr>
          <w:rFonts w:hAnsi="Times New Roman" w:cs="Times New Roman"/>
        </w:rPr>
        <w:t>发展根基持续夯实，市场内生动力与发展活力充分迸发。</w:t>
      </w:r>
    </w:p>
    <w:p w14:paraId="1067F688">
      <w:pPr>
        <w:keepNext w:val="0"/>
        <w:keepLines w:val="0"/>
        <w:pageBreakBefore w:val="0"/>
        <w:wordWrap/>
        <w:overflowPunct w:val="0"/>
        <w:topLinePunct w:val="0"/>
        <w:bidi w:val="0"/>
        <w:spacing w:line="560" w:lineRule="exact"/>
        <w:ind w:firstLine="643"/>
      </w:pPr>
      <w:r>
        <w:rPr>
          <w:rFonts w:hint="eastAsia"/>
          <w:b/>
          <w:bCs/>
        </w:rPr>
        <w:t>产业结构调整优化</w:t>
      </w:r>
      <w:r>
        <w:rPr>
          <w:rFonts w:hint="eastAsia"/>
        </w:rPr>
        <w:t>。三次产业结构占比由“十三五”末9.5：45.1：45.4优化至8.8：35.9：55.3。农林牧渔总产值达到75.96亿元，年均增长5.5%，粮食总产连年丰收，重要农产品供给充足。工业数字化转型成效明显，累计建成5G基站3200余座，省级数字经济“晨星工厂”达到38个，获评“济南市千兆城市示范区”。优质企业群体不断壮大，规上工业企业达到223家，共培育国家级专精特新“小巨人”企业13家、</w:t>
      </w:r>
      <w:r>
        <w:t>重点“小巨人”企业5家</w:t>
      </w:r>
      <w:r>
        <w:rPr>
          <w:rFonts w:hint="eastAsia"/>
        </w:rPr>
        <w:t>、省级“专精特新”企业117家、山东省创新型中小企业184家、瞪羚企业31家、制造业“单项冠军”企业8家，产业发展能级实现新跨越。服务业活力不断释放，网络视听产业集聚企业350余家，长清微短剧拍摄基地入选山东省微短剧摄制基地，展现出强劲的成长潜力。</w:t>
      </w:r>
    </w:p>
    <w:p w14:paraId="41E7ED3D">
      <w:pPr>
        <w:keepNext w:val="0"/>
        <w:keepLines w:val="0"/>
        <w:pageBreakBefore w:val="0"/>
        <w:wordWrap/>
        <w:overflowPunct w:val="0"/>
        <w:topLinePunct w:val="0"/>
        <w:bidi w:val="0"/>
        <w:spacing w:line="560" w:lineRule="exact"/>
        <w:ind w:firstLine="643"/>
      </w:pPr>
      <w:r>
        <w:rPr>
          <w:rFonts w:hint="eastAsia"/>
          <w:b/>
          <w:bCs/>
        </w:rPr>
        <w:t>发展动能更加强劲</w:t>
      </w:r>
      <w:r>
        <w:rPr>
          <w:rFonts w:hint="eastAsia"/>
        </w:rPr>
        <w:t>。</w:t>
      </w:r>
      <w:r>
        <w:t>深入贯彻全市工业强市战略，持续加大项目招引</w:t>
      </w:r>
      <w:r>
        <w:rPr>
          <w:rFonts w:hint="eastAsia"/>
        </w:rPr>
        <w:t>服务</w:t>
      </w:r>
      <w:r>
        <w:t>力度，</w:t>
      </w:r>
      <w:r>
        <w:rPr>
          <w:rFonts w:hint="eastAsia"/>
        </w:rPr>
        <w:t>扎实</w:t>
      </w:r>
      <w:r>
        <w:t>推进以高端数控机床与机器人、新能源装备、汽车为主导，以生物医药、网络视听为特色的“3+2”现代产业体系建设，累计签约引进并落地实施过亿元优质项目62个，项目谋划与储备能力显著增强。</w:t>
      </w:r>
      <w:r>
        <w:rPr>
          <w:rFonts w:hint="eastAsia"/>
        </w:rPr>
        <w:t>牢固树立“项目为王”工作理念，全面推行项目全生命周期管理机制，农批市场果品一期正式运营，2×66万千瓦先进燃煤机组、石热入济、北大沙河河道综合治理工程等项目建成投用，新能源汽车产业园、生物医药产业园、鲁澳大健康科技园、中川湾片区第四代高端住宅等项目加快建设，累计实施重点项目791个，完成投资1077亿元，其中产业项目数量占比48%以上，项目质量、效益、规模均实现明显提升，</w:t>
      </w:r>
      <w:r>
        <w:t>为</w:t>
      </w:r>
      <w:r>
        <w:rPr>
          <w:rFonts w:hint="eastAsia"/>
        </w:rPr>
        <w:t>区域</w:t>
      </w:r>
      <w:r>
        <w:t>经济持续健康发展注入</w:t>
      </w:r>
      <w:r>
        <w:rPr>
          <w:rFonts w:hint="eastAsia"/>
        </w:rPr>
        <w:t>了强大</w:t>
      </w:r>
      <w:r>
        <w:t>动力</w:t>
      </w:r>
      <w:r>
        <w:rPr>
          <w:rFonts w:hint="eastAsia"/>
        </w:rPr>
        <w:t>。</w:t>
      </w:r>
    </w:p>
    <w:p w14:paraId="1CB25704">
      <w:pPr>
        <w:keepNext w:val="0"/>
        <w:keepLines w:val="0"/>
        <w:pageBreakBefore w:val="0"/>
        <w:wordWrap/>
        <w:topLinePunct w:val="0"/>
        <w:bidi w:val="0"/>
        <w:spacing w:line="560" w:lineRule="exact"/>
        <w:ind w:firstLine="643"/>
      </w:pPr>
      <w:r>
        <w:rPr>
          <w:rFonts w:hint="eastAsia"/>
          <w:b/>
          <w:bCs/>
        </w:rPr>
        <w:t>城市品质显著提升。</w:t>
      </w:r>
      <w:r>
        <w:rPr>
          <w:rFonts w:hint="eastAsia"/>
        </w:rPr>
        <w:t>聚焦提升城市能级，</w:t>
      </w:r>
      <w:r>
        <w:rPr>
          <w:rFonts w:hint="eastAsia"/>
          <w:kern w:val="0"/>
        </w:rPr>
        <w:t>高铁、农批市场、中川湾、大学园四大片区加快建设，</w:t>
      </w:r>
      <w:r>
        <w:rPr>
          <w:rFonts w:hint="eastAsia"/>
        </w:rPr>
        <w:t>有序推进老城城市更新、大刘冷庄改造、石马名甲庄二村整合等城中村改造重点项目，累计建设安置房近120万平方米，同步释放发展空间2万余亩，</w:t>
      </w:r>
      <w:r>
        <w:t>为城市功能提升和产业布局优化提供</w:t>
      </w:r>
      <w:r>
        <w:rPr>
          <w:rFonts w:hint="eastAsia"/>
        </w:rPr>
        <w:t>有力</w:t>
      </w:r>
      <w:r>
        <w:t>支撑。</w:t>
      </w:r>
      <w:r>
        <w:rPr>
          <w:rFonts w:hint="eastAsia"/>
        </w:rPr>
        <w:t>聚焦完善城市功能，完成44个老旧小区改造，新建雨、污水管线91千米，济广高速、京台高速改扩建工程顺利完工，济郑高铁长清站开通运营，新建王府东街、文昌路、红山路等36条市政道路，对内对外交通更加顺畅。聚焦优化城市品质，新建清河坊商业街、黄河城市广场、国安片区商贸综合体等一批代表性商服设施，区文化馆、图书馆正式投入使用，新建各类公园19处，新增城市绿地166万平方米，</w:t>
      </w:r>
      <w:r>
        <w:rPr>
          <w:rFonts w:hint="eastAsia"/>
          <w:kern w:val="0"/>
        </w:rPr>
        <w:t>建成区绿地覆盖率达40.5%，</w:t>
      </w:r>
      <w:r>
        <w:rPr>
          <w:rFonts w:hint="eastAsia"/>
        </w:rPr>
        <w:t>群众高品质生活更加可感可及。</w:t>
      </w:r>
    </w:p>
    <w:p w14:paraId="1ED60A44">
      <w:pPr>
        <w:pStyle w:val="15"/>
        <w:keepNext w:val="0"/>
        <w:keepLines w:val="0"/>
        <w:pageBreakBefore w:val="0"/>
        <w:wordWrap/>
        <w:topLinePunct w:val="0"/>
        <w:bidi w:val="0"/>
        <w:spacing w:line="560" w:lineRule="exact"/>
        <w:ind w:firstLine="643"/>
        <w:rPr>
          <w:rFonts w:ascii="仿宋_GB2312"/>
        </w:rPr>
      </w:pPr>
      <w:r>
        <w:rPr>
          <w:rFonts w:hint="eastAsia" w:ascii="仿宋_GB2312"/>
          <w:b/>
          <w:bCs/>
        </w:rPr>
        <w:t>乡村振兴</w:t>
      </w:r>
      <w:r>
        <w:rPr>
          <w:rFonts w:hint="eastAsia"/>
          <w:b/>
          <w:bCs/>
        </w:rPr>
        <w:t>全面提速</w:t>
      </w:r>
      <w:r>
        <w:rPr>
          <w:rFonts w:hint="eastAsia" w:ascii="仿宋_GB2312"/>
          <w:b/>
          <w:bCs/>
        </w:rPr>
        <w:t>。</w:t>
      </w:r>
      <w:r>
        <w:rPr>
          <w:rFonts w:hint="eastAsia" w:ascii="仿宋_GB2312"/>
        </w:rPr>
        <w:t>扎实推动农业产业高质量发展，</w:t>
      </w:r>
      <w:r>
        <w:rPr>
          <w:rFonts w:hint="eastAsia" w:ascii="仿宋_GB2312"/>
          <w:kern w:val="0"/>
          <w:shd w:val="clear" w:color="auto" w:fill="FFFFFF"/>
        </w:rPr>
        <w:t>累计建成高标准农田13.5万亩，</w:t>
      </w:r>
      <w:r>
        <w:rPr>
          <w:rFonts w:hint="eastAsia" w:ascii="仿宋_GB2312"/>
        </w:rPr>
        <w:t>特色林果种植面积突破15万亩，五峰山大樱桃等10个产品获全国名特优新称号，马山栝楼等4个产品获国家地理标志认证，万德街道入选“全国乡村特色产业产值超十亿元镇”，3个</w:t>
      </w:r>
      <w:r>
        <w:rPr>
          <w:rFonts w:hint="eastAsia"/>
        </w:rPr>
        <w:t>街道（镇）</w:t>
      </w:r>
      <w:r>
        <w:rPr>
          <w:rFonts w:hint="eastAsia" w:ascii="仿宋_GB2312"/>
        </w:rPr>
        <w:t>获评“省级农业产业强镇”。持续改善农村人居环境，“五峰山樱桃谷”“齐鲁8号风情</w:t>
      </w:r>
      <w:r>
        <w:rPr>
          <w:rFonts w:hint="eastAsia"/>
        </w:rPr>
        <w:t>路</w:t>
      </w:r>
      <w:r>
        <w:rPr>
          <w:rFonts w:hint="eastAsia" w:ascii="仿宋_GB2312"/>
        </w:rPr>
        <w:t>”分别入选市级、省级示范区，累计创建52个省级和美乡村示范村。</w:t>
      </w:r>
      <w:bookmarkStart w:id="15" w:name="OLE_LINK7"/>
      <w:bookmarkStart w:id="16" w:name="OLE_LINK8"/>
      <w:r>
        <w:rPr>
          <w:rFonts w:hint="eastAsia" w:ascii="仿宋_GB2312"/>
        </w:rPr>
        <w:t>马山镇美丽宜居建设项目</w:t>
      </w:r>
      <w:bookmarkEnd w:id="15"/>
      <w:bookmarkEnd w:id="16"/>
      <w:r>
        <w:rPr>
          <w:rFonts w:hint="eastAsia" w:ascii="仿宋_GB2312"/>
        </w:rPr>
        <w:t>41个行政村、近3万群众迁入新居。荣获全国村庄清洁行动先进县、全国平安农机示范县、全国休闲农业重点县等多项国家级荣誉，</w:t>
      </w:r>
      <w:r>
        <w:rPr>
          <w:rFonts w:hint="eastAsia"/>
        </w:rPr>
        <w:t>双泉镇、马山镇双泉庄村、归德街道沙河辛村入选第七届全国文明村镇</w:t>
      </w:r>
      <w:r>
        <w:rPr>
          <w:rFonts w:hint="eastAsia" w:ascii="仿宋_GB2312"/>
        </w:rPr>
        <w:t>。“十四五”期间，农村居民人均可支配收入年均增长7.0%。</w:t>
      </w:r>
    </w:p>
    <w:p w14:paraId="3A999ADE">
      <w:pPr>
        <w:keepNext w:val="0"/>
        <w:keepLines w:val="0"/>
        <w:pageBreakBefore w:val="0"/>
        <w:wordWrap/>
        <w:overflowPunct w:val="0"/>
        <w:topLinePunct w:val="0"/>
        <w:bidi w:val="0"/>
        <w:spacing w:line="560" w:lineRule="exact"/>
        <w:ind w:firstLine="643"/>
      </w:pPr>
      <w:r>
        <w:rPr>
          <w:rFonts w:hint="eastAsia"/>
          <w:b/>
          <w:bCs/>
        </w:rPr>
        <w:t>改革创新向深向实</w:t>
      </w:r>
      <w:r>
        <w:rPr>
          <w:rFonts w:hint="eastAsia"/>
        </w:rPr>
        <w:t>。深化改革成效显著，以“高效办成一件事”为牵引，推动高频事项实现全流程“不见面”办理，持续提升“精心办·项目管家”品牌，推进项目全过程帮办服务，营商环境进一步优化。科技创新加力提速，企业创新主体地位更加突出，3年有效期内高新技术企业总数达277家，规上工业企业中开展研发活动企业占比提升至31.3%，科创型企业梯队不断壮大。校产城融合纵深推进，重构校地融合“一对一”工作机制，建成产教融合创新中心、市域产教联合体及高技能人才培训基地等实体化平台，</w:t>
      </w:r>
      <w:r>
        <w:t>累计建成市级以上科创平台14个</w:t>
      </w:r>
      <w:r>
        <w:rPr>
          <w:rFonts w:hint="eastAsia"/>
        </w:rPr>
        <w:t>。常态化</w:t>
      </w:r>
      <w:r>
        <w:rPr>
          <w:rFonts w:hint="eastAsia" w:hAnsi="方正仿宋_GBK" w:cs="方正仿宋_GBK"/>
        </w:rPr>
        <w:t>开展“企业走进高校”“高校调研企业”等</w:t>
      </w:r>
      <w:r>
        <w:rPr>
          <w:rFonts w:hint="eastAsia"/>
        </w:rPr>
        <w:t>双向对接</w:t>
      </w:r>
      <w:r>
        <w:rPr>
          <w:rFonts w:hint="eastAsia" w:hAnsi="方正仿宋_GBK" w:cs="方正仿宋_GBK"/>
        </w:rPr>
        <w:t>活动，</w:t>
      </w:r>
      <w:r>
        <w:rPr>
          <w:rFonts w:hint="eastAsia"/>
        </w:rPr>
        <w:t>推动产业链与创新链深度融合，协同共生的创新生态圈初步形成。</w:t>
      </w:r>
    </w:p>
    <w:p w14:paraId="1EE7BAEB">
      <w:pPr>
        <w:keepNext w:val="0"/>
        <w:keepLines w:val="0"/>
        <w:pageBreakBefore w:val="0"/>
        <w:wordWrap/>
        <w:overflowPunct w:val="0"/>
        <w:topLinePunct w:val="0"/>
        <w:bidi w:val="0"/>
        <w:spacing w:line="560" w:lineRule="exact"/>
        <w:ind w:firstLine="643"/>
      </w:pPr>
      <w:r>
        <w:rPr>
          <w:rFonts w:hint="eastAsia"/>
          <w:b/>
          <w:bCs/>
        </w:rPr>
        <w:t>生态环境明显改善</w:t>
      </w:r>
      <w:r>
        <w:rPr>
          <w:rFonts w:hint="eastAsia"/>
        </w:rPr>
        <w:t>。深入落实黄河流域</w:t>
      </w:r>
      <w:r>
        <w:t>生态保护和高质量发展重大国家战略</w:t>
      </w:r>
      <w:r>
        <w:rPr>
          <w:rFonts w:hint="eastAsia"/>
        </w:rPr>
        <w:t>，系统推进全域生态环境治理，实施北大沙河、南大沙河综合治理工程，完成8座中小型水库除险加固任务和6个生态清洁型小流域综合治理项目，</w:t>
      </w:r>
      <w:r>
        <w:rPr>
          <w:rFonts w:hint="eastAsia"/>
          <w:kern w:val="0"/>
          <w:shd w:val="clear" w:color="auto" w:fill="FFFFFF"/>
        </w:rPr>
        <w:t>完成586个行政村生活污水治理，</w:t>
      </w:r>
      <w:r>
        <w:rPr>
          <w:rFonts w:hint="eastAsia"/>
        </w:rPr>
        <w:t>绿色生态基底持续夯实</w:t>
      </w:r>
      <w:r>
        <w:t>。</w:t>
      </w:r>
      <w:r>
        <w:rPr>
          <w:rFonts w:hint="eastAsia"/>
        </w:rPr>
        <w:t>坚决打好蓝天、碧水、净土保卫战，“十四五”末空气质量优良天数较2020年提升16.4个百分点，市控以上河流考核断面稳定达标，济南经济开发区污水处理厂建成投用，西区污水处理厂尾水湿地完工通水，污水日处理能力达11.5万吨，受污染建设用地和耕地安全利用率均达到100%。持续推进国土绿化和生态修复，累计完成造林和森林质量提升5.77万亩，成为全市唯一国家级和省级两级“生态文明建设示范区”，区域生态品质有效提升，绿色发展优势更加彰显。</w:t>
      </w:r>
    </w:p>
    <w:p w14:paraId="67543B0C">
      <w:pPr>
        <w:keepNext w:val="0"/>
        <w:keepLines w:val="0"/>
        <w:pageBreakBefore w:val="0"/>
        <w:wordWrap/>
        <w:topLinePunct w:val="0"/>
        <w:bidi w:val="0"/>
        <w:spacing w:line="560" w:lineRule="exact"/>
        <w:ind w:firstLine="643"/>
      </w:pPr>
      <w:r>
        <w:rPr>
          <w:rFonts w:hint="eastAsia"/>
          <w:b/>
          <w:bCs/>
        </w:rPr>
        <w:t>民生福祉持续增进</w:t>
      </w:r>
      <w:r>
        <w:rPr>
          <w:rFonts w:hint="eastAsia"/>
        </w:rPr>
        <w:t>。持续加大民生投入，“十四五”末民生支出占比达到83.8%。社会事业全面发展，新建改扩建中小学、幼儿园35所，</w:t>
      </w:r>
      <w:r>
        <w:rPr>
          <w:rFonts w:hint="eastAsia"/>
          <w:kern w:val="0"/>
        </w:rPr>
        <w:t>新增优质学位2万余个，</w:t>
      </w:r>
      <w:r>
        <w:rPr>
          <w:rFonts w:hint="eastAsia"/>
        </w:rPr>
        <w:t>各类教育质量大幅提升。深化公共文体服务体系建设，济南灵岩山景区创建国家4A级旅游景区，孝堂山片区创建国家3A级旅游景区，新建改扩建基层文体设施154处，区、街道（镇）、村三级公共文化服务体系加快形成。社会保障日益完善，7097名脱贫群众实现稳定增收，累计新增城镇就业近2万人。山东中医药大学附属医院大学城医院、区中医医院东院区投入使用，10家街道（镇）卫生院提质扩容，</w:t>
      </w:r>
      <w:r>
        <w:rPr>
          <w:rFonts w:hint="eastAsia"/>
          <w:kern w:val="0"/>
        </w:rPr>
        <w:t>建成标准化村卫生室317个</w:t>
      </w:r>
      <w:r>
        <w:rPr>
          <w:rFonts w:hint="eastAsia"/>
        </w:rPr>
        <w:t>。新建各类养老服务设施170处，养老床位超过8000张，社会养老服务体系更加健全。社会治理效能显现，深入推进平安长清建设，常态化开展扫黑除恶，立体化治安防控体系初步形成。高标准统筹推进区、街道(镇)、社区(村)三级综治中心规范化建设，基层矛盾纠纷吸附能力明显提升，人民调解工作获评“全国组织宣传人民调解工作先进集体”。深入推动安全生产“审计式”监督检查服务，</w:t>
      </w:r>
      <w:r>
        <w:rPr>
          <w:rFonts w:hint="eastAsia" w:hAnsi="Calibri"/>
        </w:rPr>
        <w:t>生产安全事故总量、死亡人数较“十三五”期间分别下降80.63%、77.25%，</w:t>
      </w:r>
      <w:r>
        <w:rPr>
          <w:rFonts w:hint="eastAsia"/>
        </w:rPr>
        <w:t>社会大局保持和谐稳定。</w:t>
      </w:r>
    </w:p>
    <w:p w14:paraId="3070BC4A">
      <w:pPr>
        <w:pStyle w:val="4"/>
        <w:keepNext w:val="0"/>
        <w:keepLines w:val="0"/>
        <w:pageBreakBefore w:val="0"/>
        <w:wordWrap/>
        <w:topLinePunct w:val="0"/>
        <w:bidi w:val="0"/>
        <w:spacing w:line="560" w:lineRule="exact"/>
      </w:pPr>
      <w:bookmarkStart w:id="17" w:name="_Toc233272356"/>
      <w:bookmarkStart w:id="18" w:name="_Toc539675753"/>
      <w:bookmarkStart w:id="19" w:name="_Toc942982190"/>
      <w:r>
        <w:rPr>
          <w:rFonts w:hint="eastAsia"/>
        </w:rPr>
        <w:t>第二节 总体思路</w:t>
      </w:r>
      <w:bookmarkEnd w:id="17"/>
      <w:bookmarkEnd w:id="18"/>
      <w:bookmarkEnd w:id="19"/>
    </w:p>
    <w:p w14:paraId="50A86E7E">
      <w:pPr>
        <w:keepNext w:val="0"/>
        <w:keepLines w:val="0"/>
        <w:pageBreakBefore w:val="0"/>
        <w:wordWrap/>
        <w:topLinePunct w:val="0"/>
        <w:bidi w:val="0"/>
        <w:spacing w:line="560" w:lineRule="exact"/>
        <w:ind w:firstLine="640"/>
        <w:rPr>
          <w:rFonts w:ascii="楷体_GB2312" w:hAnsi="楷体_GB2312" w:eastAsia="楷体_GB2312" w:cs="楷体_GB2312"/>
        </w:rPr>
      </w:pPr>
      <w:bookmarkStart w:id="20" w:name="_Toc1472229810"/>
      <w:r>
        <w:rPr>
          <w:rFonts w:hint="eastAsia" w:ascii="楷体_GB2312" w:hAnsi="楷体_GB2312" w:eastAsia="楷体_GB2312" w:cs="楷体_GB2312"/>
        </w:rPr>
        <w:t>一、发展形势</w:t>
      </w:r>
      <w:bookmarkEnd w:id="20"/>
    </w:p>
    <w:p w14:paraId="60DE3163">
      <w:pPr>
        <w:keepNext w:val="0"/>
        <w:keepLines w:val="0"/>
        <w:pageBreakBefore w:val="0"/>
        <w:wordWrap/>
        <w:topLinePunct w:val="0"/>
        <w:bidi w:val="0"/>
        <w:spacing w:line="560" w:lineRule="exact"/>
        <w:ind w:firstLine="640"/>
      </w:pPr>
      <w:r>
        <w:rPr>
          <w:rFonts w:hint="eastAsia"/>
        </w:rPr>
        <w:t>“十五五”时期是我国基本实现社会主义现代化夯实基础、全面发力的关键时期。当前和今后一个时期，世界仍处于百年未有之大变局，大国关系牵动国际形势，国际形势演变深刻影响国内发展，战略机遇和风险挑战并存，不确定难预料因素增多。</w:t>
      </w:r>
    </w:p>
    <w:p w14:paraId="4E715A34">
      <w:pPr>
        <w:keepNext w:val="0"/>
        <w:keepLines w:val="0"/>
        <w:pageBreakBefore w:val="0"/>
        <w:wordWrap/>
        <w:topLinePunct w:val="0"/>
        <w:bidi w:val="0"/>
        <w:spacing w:line="560" w:lineRule="exact"/>
        <w:ind w:firstLine="643"/>
      </w:pPr>
      <w:r>
        <w:rPr>
          <w:rFonts w:hint="eastAsia"/>
          <w:b/>
          <w:bCs/>
        </w:rPr>
        <w:t>从全球层面看，</w:t>
      </w:r>
      <w:r>
        <w:rPr>
          <w:rFonts w:hint="eastAsia"/>
        </w:rPr>
        <w:t>世界百年变局加速演进，国际力量对比深刻调整，新一轮科技革命和产业变革加速突破，我国具备主动运筹国际空间、塑造外部环境的诸多有利因素。同时，世界变乱交织、动荡加剧，地缘冲突易发多发，单边主义、保护主义抬头，霸权主义和强权政治威胁上升，大国博弈更加复杂激烈。</w:t>
      </w:r>
    </w:p>
    <w:p w14:paraId="5F544201">
      <w:pPr>
        <w:keepNext w:val="0"/>
        <w:keepLines w:val="0"/>
        <w:pageBreakBefore w:val="0"/>
        <w:wordWrap/>
        <w:topLinePunct w:val="0"/>
        <w:bidi w:val="0"/>
        <w:spacing w:line="560" w:lineRule="exact"/>
        <w:ind w:firstLine="643"/>
        <w:rPr>
          <w:rFonts w:ascii="楷体_GB2312" w:hAnsi="楷体_GB2312" w:eastAsia="楷体_GB2312" w:cs="楷体_GB2312"/>
        </w:rPr>
      </w:pPr>
      <w:r>
        <w:rPr>
          <w:rFonts w:hint="eastAsia"/>
          <w:b/>
          <w:bCs/>
        </w:rPr>
        <w:t>从全国层面看</w:t>
      </w:r>
      <w:r>
        <w:rPr>
          <w:rFonts w:hint="eastAsia" w:ascii="楷体_GB2312" w:hAnsi="楷体_GB2312" w:eastAsia="楷体_GB2312" w:cs="楷体_GB2312"/>
        </w:rPr>
        <w:t>，</w:t>
      </w:r>
      <w:r>
        <w:rPr>
          <w:rFonts w:hint="eastAsia"/>
        </w:rPr>
        <w:t>我国经济基础稳、优势多、韧性强、潜能大，长期向好的支撑条件和基本趋势没有变，中国特色社会主义制度优势、超大规模市场优势、完整产业体系优势、丰富人才资源优势更加彰显，我国正处于以中国式现代化全面推进强国建设、民族复兴伟业的关键时期。</w:t>
      </w:r>
    </w:p>
    <w:p w14:paraId="1D0DFBC6">
      <w:pPr>
        <w:keepNext w:val="0"/>
        <w:keepLines w:val="0"/>
        <w:pageBreakBefore w:val="0"/>
        <w:wordWrap/>
        <w:topLinePunct w:val="0"/>
        <w:bidi w:val="0"/>
        <w:spacing w:line="560" w:lineRule="exact"/>
        <w:ind w:firstLine="643"/>
      </w:pPr>
      <w:r>
        <w:rPr>
          <w:rFonts w:hint="eastAsia"/>
          <w:b/>
          <w:bCs/>
        </w:rPr>
        <w:t>从全省层面看，</w:t>
      </w:r>
      <w:r>
        <w:rPr>
          <w:rFonts w:hint="eastAsia"/>
        </w:rPr>
        <w:t>未来五年是山东加快推进现代化强省建设的关键五年，山东坚定扛牢“走在前、挑大梁”的使命担当，绿色低碳高质量发展先行区积厚成势，支持经济大省挑大梁的政策效应叠加放大，打造北方地区重要经济增长极将成势见效，经济实力、创新能力和综合竞争力持续提升，现代化强省建设基础不断夯实，高质量发展路径更加清晰。</w:t>
      </w:r>
    </w:p>
    <w:p w14:paraId="7796B8A2">
      <w:pPr>
        <w:pStyle w:val="22"/>
        <w:keepNext w:val="0"/>
        <w:keepLines w:val="0"/>
        <w:pageBreakBefore w:val="0"/>
        <w:wordWrap/>
        <w:topLinePunct w:val="0"/>
        <w:bidi w:val="0"/>
        <w:spacing w:line="560" w:lineRule="exact"/>
        <w:ind w:firstLine="643"/>
        <w:rPr>
          <w:rFonts w:ascii="仿宋_GB2312" w:hAnsi="仿宋_GB2312" w:eastAsia="仿宋_GB2312" w:cs="仿宋_GB2312"/>
        </w:rPr>
      </w:pPr>
      <w:r>
        <w:rPr>
          <w:rFonts w:hint="eastAsia" w:ascii="仿宋_GB2312" w:hAnsi="仿宋_GB2312" w:eastAsia="仿宋_GB2312" w:cs="仿宋_GB2312"/>
          <w:b/>
          <w:bCs/>
        </w:rPr>
        <w:t>从全市层面看，</w:t>
      </w:r>
      <w:r>
        <w:rPr>
          <w:rFonts w:hint="eastAsia" w:ascii="仿宋_GB2312" w:hAnsi="仿宋_GB2312" w:eastAsia="仿宋_GB2312" w:cs="仿宋_GB2312"/>
        </w:rPr>
        <w:t>“强新优富美高”新时代社会主义现代化强省会建设取得明显成效，逐步形成“十大发展优势”，战略机遇交汇叠加，交通网络四通八达，科技创新实力雄厚，数字赋能势头强劲，人才保障基础坚实，金融服务优势突出，营商环境持续优化，消费市场潜力巨大，城市品质生态宜居，人文环境厚重淳朴，高质量发展的内生动力不断增强。</w:t>
      </w:r>
    </w:p>
    <w:p w14:paraId="67B4CACA">
      <w:pPr>
        <w:keepNext w:val="0"/>
        <w:keepLines w:val="0"/>
        <w:pageBreakBefore w:val="0"/>
        <w:wordWrap/>
        <w:topLinePunct w:val="0"/>
        <w:bidi w:val="0"/>
        <w:spacing w:line="560" w:lineRule="exact"/>
        <w:ind w:firstLine="643"/>
        <w:rPr>
          <w:rFonts w:eastAsia="宋体"/>
          <w:b/>
          <w:bCs/>
        </w:rPr>
      </w:pPr>
      <w:r>
        <w:rPr>
          <w:rFonts w:hint="eastAsia"/>
          <w:b/>
          <w:bCs/>
        </w:rPr>
        <w:t>从长清自身看，</w:t>
      </w:r>
      <w:r>
        <w:rPr>
          <w:rFonts w:hint="eastAsia"/>
        </w:rPr>
        <w:t>产业结构迭代优化，投资结构更趋合理，产业培育初见成效，项目运作能力显著增强，经济韧性得到全面提升，一批打基础、利长远的实事落地见效，发展根基日益牢固，各领域积蓄充足动能，全区发展呈现出质效并进、蓄势跃升的良好态势。</w:t>
      </w:r>
    </w:p>
    <w:p w14:paraId="01282277">
      <w:pPr>
        <w:keepNext w:val="0"/>
        <w:keepLines w:val="0"/>
        <w:pageBreakBefore w:val="0"/>
        <w:wordWrap/>
        <w:topLinePunct w:val="0"/>
        <w:bidi w:val="0"/>
        <w:spacing w:line="560" w:lineRule="exact"/>
        <w:ind w:firstLine="640"/>
        <w:rPr>
          <w:rFonts w:ascii="楷体_GB2312" w:hAnsi="楷体_GB2312" w:eastAsia="楷体_GB2312" w:cs="楷体_GB2312"/>
        </w:rPr>
      </w:pPr>
      <w:bookmarkStart w:id="21" w:name="_Toc1667372619"/>
      <w:r>
        <w:rPr>
          <w:rFonts w:hint="eastAsia" w:ascii="楷体_GB2312" w:hAnsi="楷体_GB2312" w:eastAsia="楷体_GB2312" w:cs="楷体_GB2312"/>
        </w:rPr>
        <w:t>二、指导思想</w:t>
      </w:r>
      <w:bookmarkEnd w:id="21"/>
    </w:p>
    <w:p w14:paraId="11688492">
      <w:pPr>
        <w:keepNext w:val="0"/>
        <w:keepLines w:val="0"/>
        <w:pageBreakBefore w:val="0"/>
        <w:wordWrap/>
        <w:topLinePunct w:val="0"/>
        <w:bidi w:val="0"/>
        <w:spacing w:line="560" w:lineRule="exact"/>
        <w:ind w:firstLine="640"/>
      </w:pPr>
      <w:bookmarkStart w:id="22" w:name="_Toc123869639"/>
      <w:r>
        <w:rPr>
          <w:rFonts w:hint="eastAsia"/>
        </w:rPr>
        <w:t>坚持马克思列宁主义、毛泽东思想、邓小平理论、“三个代表”重要思想、科学发展观，全面贯彻习近平新时代中国特色社会主义思想，深入贯彻党的二十大和二十届历次全会精神，认真落实习近平总书记视察山东重要讲话和重要指示批示精神，统筹推进“五位一体”总体布局，协调推进“四个全面”战略布局，统筹国内国际两个大局，完整准确全面贯彻新发展理念，主动服务和融入新发展格局，坚持稳中求进工作总基调，坚持以经济建设为中心，以推进高质量发展为主题，以改革创新为根本动力，以满足人民日益增长的美好生活需要为根本目的，以全面从严治党为根本保障，把因地制宜发展新质生产力摆在更加突出的战略位置，持续提升综合实力，构建现代产业体系，全面深化改革开放，加快城乡融合发展，全力保障改善民生，推动经济实现质的有效提升和量的合理增长，加快建设产学研融合发展基地、生态文明建设示范区、文旅融合高地，不断开创长清新时代社会主义现代化建设新局面。</w:t>
      </w:r>
      <w:bookmarkEnd w:id="22"/>
    </w:p>
    <w:p w14:paraId="61FEB204">
      <w:pPr>
        <w:keepNext w:val="0"/>
        <w:keepLines w:val="0"/>
        <w:pageBreakBefore w:val="0"/>
        <w:wordWrap/>
        <w:topLinePunct w:val="0"/>
        <w:bidi w:val="0"/>
        <w:spacing w:line="560" w:lineRule="exact"/>
        <w:ind w:firstLine="640"/>
        <w:rPr>
          <w:rFonts w:ascii="楷体_GB2312" w:hAnsi="楷体_GB2312" w:eastAsia="楷体_GB2312" w:cs="楷体_GB2312"/>
        </w:rPr>
      </w:pPr>
      <w:r>
        <w:rPr>
          <w:rFonts w:hint="eastAsia" w:ascii="楷体_GB2312" w:hAnsi="楷体_GB2312" w:eastAsia="楷体_GB2312" w:cs="楷体_GB2312"/>
        </w:rPr>
        <w:t>三、基本原则</w:t>
      </w:r>
    </w:p>
    <w:p w14:paraId="3BBA0B10">
      <w:pPr>
        <w:keepNext w:val="0"/>
        <w:keepLines w:val="0"/>
        <w:pageBreakBefore w:val="0"/>
        <w:wordWrap/>
        <w:topLinePunct w:val="0"/>
        <w:bidi w:val="0"/>
        <w:spacing w:line="560" w:lineRule="exact"/>
        <w:ind w:firstLine="643"/>
      </w:pPr>
      <w:r>
        <w:rPr>
          <w:rFonts w:hint="eastAsia"/>
          <w:b/>
          <w:bCs/>
        </w:rPr>
        <w:t>坚持党的全面领导</w:t>
      </w:r>
      <w:r>
        <w:rPr>
          <w:rFonts w:hint="eastAsia"/>
        </w:rPr>
        <w:t>。坚决维护党中央权威和集中统一领导，深刻领悟“两个确立”的决定性意义，增强“四个意识”</w:t>
      </w:r>
      <w:r>
        <w:rPr>
          <w:rFonts w:hint="eastAsia"/>
          <w:lang w:eastAsia="zh-CN"/>
        </w:rPr>
        <w:t>、</w:t>
      </w:r>
      <w:r>
        <w:rPr>
          <w:rFonts w:hint="eastAsia"/>
        </w:rPr>
        <w:t>坚定“四个自信”</w:t>
      </w:r>
      <w:r>
        <w:rPr>
          <w:rFonts w:hint="eastAsia"/>
          <w:lang w:eastAsia="zh-CN"/>
        </w:rPr>
        <w:t>、</w:t>
      </w:r>
      <w:r>
        <w:rPr>
          <w:rFonts w:hint="eastAsia"/>
        </w:rPr>
        <w:t>做到“两个维护”，充分发挥党总揽全局、协调各方的领导核心作用，将党的领导贯穿经济社会发展各方面全过程，为实现高质量发展提供根本保证。</w:t>
      </w:r>
    </w:p>
    <w:p w14:paraId="7BE2297D">
      <w:pPr>
        <w:keepNext w:val="0"/>
        <w:keepLines w:val="0"/>
        <w:pageBreakBefore w:val="0"/>
        <w:wordWrap/>
        <w:topLinePunct w:val="0"/>
        <w:bidi w:val="0"/>
        <w:spacing w:line="560" w:lineRule="exact"/>
        <w:ind w:firstLine="643"/>
        <w:rPr>
          <w:rFonts w:ascii="楷体_GB2312" w:hAnsi="楷体_GB2312" w:eastAsia="楷体_GB2312" w:cs="楷体_GB2312"/>
        </w:rPr>
      </w:pPr>
      <w:r>
        <w:rPr>
          <w:rFonts w:hint="eastAsia"/>
          <w:b/>
          <w:bCs/>
        </w:rPr>
        <w:t>坚持人民至上</w:t>
      </w:r>
      <w:r>
        <w:rPr>
          <w:rFonts w:hint="eastAsia"/>
        </w:rPr>
        <w:t>。尊重人民主体地位，促进社会公平正义，注重在发展中保障和改善民生，推动人的全面发展、全体人民共同富裕迈出坚实步伐。坚持尽力而为、量力而行，加强基础性、普惠性、兜底性民生建设，推进治理体系和治理能力现代化，让现代化建设成果更多更公平惠及全体人民。</w:t>
      </w:r>
    </w:p>
    <w:p w14:paraId="45CC383B">
      <w:pPr>
        <w:keepNext w:val="0"/>
        <w:keepLines w:val="0"/>
        <w:pageBreakBefore w:val="0"/>
        <w:wordWrap/>
        <w:topLinePunct w:val="0"/>
        <w:bidi w:val="0"/>
        <w:spacing w:line="560" w:lineRule="exact"/>
        <w:ind w:firstLine="643"/>
      </w:pPr>
      <w:r>
        <w:rPr>
          <w:b/>
          <w:bCs/>
        </w:rPr>
        <w:t>坚持</w:t>
      </w:r>
      <w:r>
        <w:rPr>
          <w:rFonts w:hint="eastAsia"/>
          <w:b/>
          <w:bCs/>
        </w:rPr>
        <w:t>高质量发展</w:t>
      </w:r>
      <w:r>
        <w:t>。牢固树立和践行“绿水青山就是金山银山”理念，加强山水林田湖草沙系统治理，统筹产业结构优化、污染防控、生态保护与气候变化应对，协同推进降碳、减污、扩绿、增长，坚定不移走生态优先、绿色低碳发展道路，打造深入践行“双碳”战略、建设美丽中国的典范。</w:t>
      </w:r>
    </w:p>
    <w:p w14:paraId="4D794C87">
      <w:pPr>
        <w:keepNext w:val="0"/>
        <w:keepLines w:val="0"/>
        <w:pageBreakBefore w:val="0"/>
        <w:wordWrap/>
        <w:topLinePunct w:val="0"/>
        <w:bidi w:val="0"/>
        <w:spacing w:line="560" w:lineRule="exact"/>
        <w:ind w:firstLine="643"/>
      </w:pPr>
      <w:r>
        <w:rPr>
          <w:b/>
          <w:bCs/>
        </w:rPr>
        <w:t>坚持</w:t>
      </w:r>
      <w:r>
        <w:rPr>
          <w:rFonts w:hint="eastAsia"/>
          <w:b/>
          <w:bCs/>
        </w:rPr>
        <w:t>全面</w:t>
      </w:r>
      <w:r>
        <w:rPr>
          <w:b/>
          <w:bCs/>
        </w:rPr>
        <w:t>深化改革</w:t>
      </w:r>
      <w:r>
        <w:t>。始终保持先行先试、改革创新的锐气勇气，进一步解放和发展社会生产力</w:t>
      </w:r>
      <w:r>
        <w:rPr>
          <w:rFonts w:hint="eastAsia"/>
        </w:rPr>
        <w:t>。推进高水平制度型开放，打造市场化、法治化、国际化一流营商环境。强化企业创新主体地位，加快推动创新链、产业链、资金链、人才链深度融合，催化科技成果高效转化，加速形成新质生产力。</w:t>
      </w:r>
    </w:p>
    <w:p w14:paraId="7A6A69FC">
      <w:pPr>
        <w:keepNext w:val="0"/>
        <w:keepLines w:val="0"/>
        <w:pageBreakBefore w:val="0"/>
        <w:wordWrap/>
        <w:topLinePunct w:val="0"/>
        <w:bidi w:val="0"/>
        <w:spacing w:line="560" w:lineRule="exact"/>
        <w:ind w:firstLine="643"/>
      </w:pPr>
      <w:r>
        <w:rPr>
          <w:rFonts w:hint="eastAsia"/>
          <w:b/>
          <w:bCs/>
        </w:rPr>
        <w:t>坚持有效市场和有为政府相结合。</w:t>
      </w:r>
      <w:r>
        <w:rPr>
          <w:rFonts w:hint="eastAsia"/>
        </w:rPr>
        <w:t>充分发挥市场在资源配置中的决定性作用，激发各类经营主体的内生动力和创新活力。更好发挥政府作用，着力在宏观引导、市场监管、公共服务、保障公平上担当作为，营造稳定、公平、透明、可预期的营商环境，实现双向奔赴、同向发力。</w:t>
      </w:r>
    </w:p>
    <w:p w14:paraId="56242AFA">
      <w:pPr>
        <w:keepNext w:val="0"/>
        <w:keepLines w:val="0"/>
        <w:pageBreakBefore w:val="0"/>
        <w:wordWrap/>
        <w:topLinePunct w:val="0"/>
        <w:bidi w:val="0"/>
        <w:spacing w:line="560" w:lineRule="exact"/>
        <w:ind w:firstLine="643"/>
        <w:rPr>
          <w:rFonts w:ascii="楷体_GB2312" w:hAnsi="楷体_GB2312" w:eastAsia="楷体_GB2312" w:cs="楷体_GB2312"/>
        </w:rPr>
      </w:pPr>
      <w:r>
        <w:rPr>
          <w:rFonts w:hint="eastAsia"/>
          <w:b/>
          <w:bCs/>
        </w:rPr>
        <w:t>坚持统筹发展和安全</w:t>
      </w:r>
      <w:r>
        <w:rPr>
          <w:rFonts w:hint="eastAsia" w:ascii="楷体_GB2312" w:hAnsi="楷体_GB2312" w:eastAsia="楷体_GB2312" w:cs="楷体_GB2312"/>
          <w:b/>
          <w:bCs/>
        </w:rPr>
        <w:t>。</w:t>
      </w:r>
      <w:r>
        <w:rPr>
          <w:rFonts w:hint="eastAsia"/>
        </w:rPr>
        <w:t>全面落实总体国家安全观，在发展中固安全，在安全中谋发展，强化风险意识、底线思维，提升斗争本领，提高风险应对能力，有效防范化解各类风险，增强经济和社会韧性，统筹做好稳增长、调结构、促改革、惠民生、防风险各项工作，以新安全格局保障新发展格局。</w:t>
      </w:r>
    </w:p>
    <w:p w14:paraId="01500C3B">
      <w:pPr>
        <w:pStyle w:val="4"/>
        <w:keepNext w:val="0"/>
        <w:keepLines w:val="0"/>
        <w:pageBreakBefore w:val="0"/>
        <w:wordWrap/>
        <w:topLinePunct w:val="0"/>
        <w:bidi w:val="0"/>
        <w:spacing w:line="560" w:lineRule="exact"/>
      </w:pPr>
      <w:bookmarkStart w:id="23" w:name="_Toc1450366141"/>
      <w:bookmarkStart w:id="24" w:name="_Toc304137685"/>
      <w:bookmarkStart w:id="25" w:name="_Toc233272357"/>
      <w:r>
        <w:rPr>
          <w:rFonts w:hint="eastAsia"/>
        </w:rPr>
        <w:t>第三节 奋斗目标</w:t>
      </w:r>
      <w:bookmarkEnd w:id="23"/>
      <w:bookmarkEnd w:id="24"/>
      <w:bookmarkEnd w:id="25"/>
    </w:p>
    <w:p w14:paraId="73C6E5BD">
      <w:pPr>
        <w:pStyle w:val="15"/>
        <w:keepNext w:val="0"/>
        <w:keepLines w:val="0"/>
        <w:pageBreakBefore w:val="0"/>
        <w:wordWrap/>
        <w:topLinePunct w:val="0"/>
        <w:bidi w:val="0"/>
        <w:spacing w:line="560" w:lineRule="exact"/>
        <w:ind w:firstLine="640"/>
      </w:pPr>
      <w:r>
        <w:rPr>
          <w:rFonts w:hint="eastAsia"/>
        </w:rPr>
        <w:t>经过五年不懈努力，在综合实力、产业能级、区域协同、城乡环境、民生福祉等方面实现全面进步，</w:t>
      </w:r>
      <w:r>
        <w:rPr>
          <w:rFonts w:hint="eastAsia" w:ascii="仿宋_GB2312"/>
        </w:rPr>
        <w:t>全区经济社会高质量发展取得更大成就。</w:t>
      </w:r>
    </w:p>
    <w:p w14:paraId="3FA95A54">
      <w:pPr>
        <w:keepNext w:val="0"/>
        <w:keepLines w:val="0"/>
        <w:pageBreakBefore w:val="0"/>
        <w:wordWrap/>
        <w:topLinePunct w:val="0"/>
        <w:bidi w:val="0"/>
        <w:spacing w:line="560" w:lineRule="exact"/>
        <w:ind w:firstLine="643"/>
      </w:pPr>
      <w:r>
        <w:rPr>
          <w:rFonts w:hint="eastAsia"/>
          <w:b/>
          <w:bCs/>
        </w:rPr>
        <w:t>——综合实力迈上新台阶。</w:t>
      </w:r>
      <w:r>
        <w:rPr>
          <w:rFonts w:hint="eastAsia"/>
        </w:rPr>
        <w:t>地区生产总值在“十四五”末473.9亿元的基础上，“十五五”末突破600亿元，力争达到640亿元，</w:t>
      </w:r>
      <w:r>
        <w:t>年均增长率保持在5.5%左右。</w:t>
      </w:r>
      <w:r>
        <w:rPr>
          <w:rFonts w:hint="eastAsia"/>
        </w:rPr>
        <w:t>一般公共预算收入等主要经济指标保持平稳增长，区域发展活力显著增强。</w:t>
      </w:r>
    </w:p>
    <w:p w14:paraId="77368E59">
      <w:pPr>
        <w:keepNext w:val="0"/>
        <w:keepLines w:val="0"/>
        <w:pageBreakBefore w:val="0"/>
        <w:wordWrap/>
        <w:topLinePunct w:val="0"/>
        <w:bidi w:val="0"/>
        <w:spacing w:line="560" w:lineRule="exact"/>
        <w:ind w:firstLine="643"/>
        <w:rPr>
          <w:rFonts w:eastAsia="微软雅黑"/>
        </w:rPr>
      </w:pPr>
      <w:r>
        <w:rPr>
          <w:rFonts w:hint="eastAsia"/>
          <w:b/>
          <w:bCs/>
        </w:rPr>
        <w:t>——产业结构实现新优化。</w:t>
      </w:r>
      <w:r>
        <w:rPr>
          <w:rFonts w:hint="eastAsia"/>
        </w:rPr>
        <w:t>三次产业结构比例优化至7：35：58。农业综合生产能力和质量效益显著提升；工业向智能化、绿色化、融合化发展，优化提升传统产业，培育壮大新兴产业；服务业实现扩能提质，生产性服务业向专业化和价值链高端延伸，生活性服务业向高品质、多样化、便利化发展。</w:t>
      </w:r>
    </w:p>
    <w:p w14:paraId="57129DFF">
      <w:pPr>
        <w:keepNext w:val="0"/>
        <w:keepLines w:val="0"/>
        <w:pageBreakBefore w:val="0"/>
        <w:wordWrap/>
        <w:topLinePunct w:val="0"/>
        <w:bidi w:val="0"/>
        <w:spacing w:line="560" w:lineRule="exact"/>
        <w:ind w:firstLine="643"/>
      </w:pPr>
      <w:r>
        <w:rPr>
          <w:rFonts w:hint="eastAsia"/>
          <w:b/>
          <w:bCs/>
        </w:rPr>
        <w:t>——产业生态呈现新格局。</w:t>
      </w:r>
      <w:r>
        <w:rPr>
          <w:rFonts w:hint="eastAsia"/>
        </w:rPr>
        <w:t>主导及特色产业支撑作用更加突出，高端数控机床与机器人、新能源装备、汽车、生物医药、网络视听产业集聚度显著提高，培育壮大50亿级龙头企业、10亿级重点企业梯队，加快打造百亿级产业集群，基本形成特色鲜明、链条完整、生态健全的现代产业体系。</w:t>
      </w:r>
    </w:p>
    <w:p w14:paraId="3AE62632">
      <w:pPr>
        <w:keepNext w:val="0"/>
        <w:keepLines w:val="0"/>
        <w:pageBreakBefore w:val="0"/>
        <w:wordWrap/>
        <w:topLinePunct w:val="0"/>
        <w:bidi w:val="0"/>
        <w:spacing w:line="560" w:lineRule="exact"/>
        <w:ind w:firstLine="643"/>
      </w:pPr>
      <w:r>
        <w:rPr>
          <w:rFonts w:hint="eastAsia"/>
          <w:b/>
          <w:bCs/>
        </w:rPr>
        <w:t>——创新动能得到新增强。</w:t>
      </w:r>
      <w:r>
        <w:rPr>
          <w:rFonts w:hint="eastAsia"/>
        </w:rPr>
        <w:t>科技创新和产业创新深度融合，省级以上“专精特新”企业达到140家，企业创新主体地位更加凸显。国家级、省级、市级企业技术研究中心、实验室和研发机构达到50家以上，</w:t>
      </w:r>
      <w:r>
        <w:t>校地企合作深入推进</w:t>
      </w:r>
      <w:r>
        <w:rPr>
          <w:rFonts w:hint="eastAsia"/>
        </w:rPr>
        <w:t>。加快科技成果转化应用，</w:t>
      </w:r>
      <w:r>
        <w:t>校产城融合水平持续提升。</w:t>
      </w:r>
    </w:p>
    <w:p w14:paraId="0E55623A">
      <w:pPr>
        <w:keepNext w:val="0"/>
        <w:keepLines w:val="0"/>
        <w:pageBreakBefore w:val="0"/>
        <w:wordWrap/>
        <w:topLinePunct w:val="0"/>
        <w:bidi w:val="0"/>
        <w:spacing w:line="560" w:lineRule="exact"/>
        <w:ind w:firstLine="643"/>
        <w:rPr>
          <w:rFonts w:ascii="Segoe UI" w:hAnsi="Segoe UI" w:eastAsia="Segoe UI" w:cs="Segoe UI"/>
          <w:spacing w:val="-2"/>
          <w:sz w:val="24"/>
          <w:szCs w:val="24"/>
          <w:shd w:val="clear" w:color="auto" w:fill="FFFFFF"/>
        </w:rPr>
      </w:pPr>
      <w:r>
        <w:rPr>
          <w:rFonts w:hint="eastAsia" w:ascii="楷体_GB2312" w:hAnsi="楷体_GB2312" w:eastAsia="楷体_GB2312" w:cs="楷体_GB2312"/>
          <w:b/>
          <w:bCs/>
        </w:rPr>
        <w:t>—</w:t>
      </w:r>
      <w:r>
        <w:rPr>
          <w:rFonts w:hint="eastAsia"/>
          <w:b/>
          <w:bCs/>
        </w:rPr>
        <w:t>—宜居品质实现新提升。</w:t>
      </w:r>
      <w:r>
        <w:rPr>
          <w:rFonts w:hint="eastAsia"/>
        </w:rPr>
        <w:t>四大片区承载能力显著增强，城市功能布局更趋合理，吸引力与竞争力显著增强。生态环境质量稳步改善，森林覆盖率、建成区绿地率和人均公园绿地面积稳步提高，主要污染物排放总量持续减少，逐步建成集休闲放松、旅游观光、康养居住功能于一体的“省会后花园”。</w:t>
      </w:r>
    </w:p>
    <w:p w14:paraId="2BCCFA46">
      <w:pPr>
        <w:pStyle w:val="22"/>
        <w:keepNext w:val="0"/>
        <w:keepLines w:val="0"/>
        <w:pageBreakBefore w:val="0"/>
        <w:wordWrap/>
        <w:topLinePunct w:val="0"/>
        <w:bidi w:val="0"/>
        <w:spacing w:line="560" w:lineRule="exact"/>
        <w:ind w:firstLine="643"/>
        <w:rPr>
          <w:rFonts w:ascii="仿宋_GB2312" w:hAnsi="仿宋_GB2312" w:eastAsia="仿宋_GB2312" w:cs="仿宋_GB2312"/>
        </w:rPr>
      </w:pPr>
      <w:r>
        <w:rPr>
          <w:rFonts w:hint="eastAsia" w:ascii="仿宋_GB2312" w:hAnsi="仿宋_GB2312" w:eastAsia="仿宋_GB2312" w:cs="仿宋_GB2312"/>
          <w:b/>
          <w:bCs/>
        </w:rPr>
        <w:t>——民生福祉达到新水平。</w:t>
      </w:r>
      <w:r>
        <w:rPr>
          <w:rFonts w:hint="eastAsia" w:ascii="仿宋_GB2312" w:hAnsi="仿宋_GB2312" w:eastAsia="仿宋_GB2312" w:cs="仿宋_GB2312"/>
        </w:rPr>
        <w:t>城乡居民基本公共服务均等化水平明显提升。高质量充分就业取得新进展，城乡居民人均可支配收入稳步增长，城乡收入差距持续缩小。民生保障底线持续筑牢，区、街道（镇）、村居三级医疗服务网络日益完善，有效实现“日常病在基层解决”，覆盖全生命周期的人口服务体系更加健全。</w:t>
      </w:r>
    </w:p>
    <w:p w14:paraId="31620A1F">
      <w:pPr>
        <w:keepNext w:val="0"/>
        <w:keepLines w:val="0"/>
        <w:pageBreakBefore w:val="0"/>
        <w:wordWrap/>
        <w:topLinePunct w:val="0"/>
        <w:bidi w:val="0"/>
        <w:spacing w:line="560" w:lineRule="exact"/>
        <w:ind w:firstLine="640"/>
        <w:rPr>
          <w:rFonts w:hint="eastAsia"/>
        </w:rPr>
      </w:pPr>
      <w:r>
        <w:rPr>
          <w:rFonts w:hint="eastAsia"/>
        </w:rPr>
        <w:t>在此基础上再奋斗五年，到二〇三五年我区经济实力、科创能力、城乡环境、治理效能和城市竞争力大幅跃升，人民生活品质更加幸福美好，现代化建设水平显著提高，基本实现</w:t>
      </w:r>
      <w:r>
        <w:t>社会主义现代化。</w:t>
      </w:r>
    </w:p>
    <w:p w14:paraId="5FFA8919">
      <w:pPr>
        <w:keepNext w:val="0"/>
        <w:keepLines w:val="0"/>
        <w:pageBreakBefore w:val="0"/>
        <w:wordWrap/>
        <w:topLinePunct w:val="0"/>
        <w:bidi w:val="0"/>
        <w:spacing w:line="560" w:lineRule="exact"/>
        <w:ind w:firstLine="640"/>
        <w:rPr>
          <w:rFonts w:hint="eastAsia"/>
        </w:rPr>
      </w:pPr>
    </w:p>
    <w:tbl>
      <w:tblPr>
        <w:tblStyle w:val="17"/>
        <w:tblW w:w="9164"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29"/>
        <w:gridCol w:w="465"/>
        <w:gridCol w:w="2700"/>
        <w:gridCol w:w="885"/>
        <w:gridCol w:w="1140"/>
        <w:gridCol w:w="1170"/>
        <w:gridCol w:w="1410"/>
        <w:gridCol w:w="965"/>
      </w:tblGrid>
      <w:tr w14:paraId="1414B1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164" w:type="dxa"/>
            <w:gridSpan w:val="8"/>
            <w:vAlign w:val="center"/>
          </w:tcPr>
          <w:p w14:paraId="3D69380C">
            <w:pPr>
              <w:keepNext w:val="0"/>
              <w:keepLines w:val="0"/>
              <w:pageBreakBefore w:val="0"/>
              <w:wordWrap/>
              <w:topLinePunct w:val="0"/>
              <w:bidi w:val="0"/>
              <w:spacing w:line="560" w:lineRule="exact"/>
              <w:ind w:firstLine="0" w:firstLineChars="0"/>
              <w:jc w:val="center"/>
              <w:rPr>
                <w:rFonts w:ascii="黑体" w:hAnsi="黑体" w:eastAsia="黑体" w:cs="黑体"/>
                <w:sz w:val="24"/>
                <w:szCs w:val="24"/>
              </w:rPr>
            </w:pPr>
            <w:r>
              <w:rPr>
                <w:rFonts w:hint="eastAsia" w:ascii="黑体" w:hAnsi="黑体" w:eastAsia="黑体" w:cs="黑体"/>
                <w:sz w:val="28"/>
                <w:szCs w:val="28"/>
              </w:rPr>
              <w:t>专栏1  “十五五”时期经济社会发展主要目标</w:t>
            </w:r>
          </w:p>
        </w:tc>
      </w:tr>
      <w:tr w14:paraId="54742B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29" w:type="dxa"/>
            <w:vAlign w:val="center"/>
          </w:tcPr>
          <w:p w14:paraId="162C0B81">
            <w:pPr>
              <w:keepNext w:val="0"/>
              <w:keepLines w:val="0"/>
              <w:pageBreakBefore w:val="0"/>
              <w:wordWrap/>
              <w:topLinePunct w:val="0"/>
              <w:bidi w:val="0"/>
              <w:spacing w:line="560" w:lineRule="exact"/>
              <w:ind w:firstLine="0" w:firstLineChars="0"/>
              <w:jc w:val="center"/>
              <w:rPr>
                <w:rFonts w:ascii="黑体" w:hAnsi="黑体" w:eastAsia="黑体" w:cs="黑体"/>
                <w:sz w:val="24"/>
                <w:szCs w:val="24"/>
              </w:rPr>
            </w:pPr>
            <w:r>
              <w:rPr>
                <w:rFonts w:hint="eastAsia" w:ascii="黑体" w:hAnsi="黑体" w:eastAsia="黑体" w:cs="黑体"/>
                <w:sz w:val="24"/>
                <w:szCs w:val="24"/>
              </w:rPr>
              <w:t>类别</w:t>
            </w:r>
          </w:p>
        </w:tc>
        <w:tc>
          <w:tcPr>
            <w:tcW w:w="465" w:type="dxa"/>
            <w:vAlign w:val="center"/>
          </w:tcPr>
          <w:p w14:paraId="7A172453">
            <w:pPr>
              <w:keepNext w:val="0"/>
              <w:keepLines w:val="0"/>
              <w:pageBreakBefore w:val="0"/>
              <w:wordWrap/>
              <w:topLinePunct w:val="0"/>
              <w:bidi w:val="0"/>
              <w:spacing w:line="560" w:lineRule="exact"/>
              <w:ind w:firstLine="0" w:firstLineChars="0"/>
              <w:jc w:val="center"/>
              <w:rPr>
                <w:rFonts w:ascii="黑体" w:hAnsi="黑体" w:eastAsia="黑体" w:cs="黑体"/>
                <w:sz w:val="24"/>
                <w:szCs w:val="24"/>
              </w:rPr>
            </w:pPr>
            <w:r>
              <w:rPr>
                <w:rFonts w:hint="eastAsia" w:ascii="黑体" w:hAnsi="黑体" w:eastAsia="黑体" w:cs="黑体"/>
                <w:sz w:val="24"/>
                <w:szCs w:val="24"/>
              </w:rPr>
              <w:t>序号</w:t>
            </w:r>
          </w:p>
        </w:tc>
        <w:tc>
          <w:tcPr>
            <w:tcW w:w="2700" w:type="dxa"/>
            <w:vAlign w:val="center"/>
          </w:tcPr>
          <w:p w14:paraId="15BA5237">
            <w:pPr>
              <w:keepNext w:val="0"/>
              <w:keepLines w:val="0"/>
              <w:pageBreakBefore w:val="0"/>
              <w:wordWrap/>
              <w:topLinePunct w:val="0"/>
              <w:bidi w:val="0"/>
              <w:spacing w:line="560" w:lineRule="exact"/>
              <w:ind w:firstLine="0" w:firstLineChars="0"/>
              <w:jc w:val="center"/>
              <w:rPr>
                <w:rFonts w:ascii="黑体" w:hAnsi="黑体" w:eastAsia="黑体" w:cs="黑体"/>
                <w:sz w:val="24"/>
                <w:szCs w:val="24"/>
              </w:rPr>
            </w:pPr>
            <w:r>
              <w:rPr>
                <w:rFonts w:hint="eastAsia" w:ascii="黑体" w:hAnsi="黑体" w:eastAsia="黑体" w:cs="黑体"/>
                <w:sz w:val="24"/>
                <w:szCs w:val="24"/>
              </w:rPr>
              <w:t>指   标</w:t>
            </w:r>
          </w:p>
        </w:tc>
        <w:tc>
          <w:tcPr>
            <w:tcW w:w="885" w:type="dxa"/>
            <w:vAlign w:val="center"/>
          </w:tcPr>
          <w:p w14:paraId="0E0D2364">
            <w:pPr>
              <w:keepNext w:val="0"/>
              <w:keepLines w:val="0"/>
              <w:pageBreakBefore w:val="0"/>
              <w:wordWrap/>
              <w:topLinePunct w:val="0"/>
              <w:bidi w:val="0"/>
              <w:spacing w:line="560" w:lineRule="exact"/>
              <w:ind w:firstLine="0" w:firstLineChars="0"/>
              <w:jc w:val="center"/>
              <w:rPr>
                <w:rFonts w:ascii="黑体" w:hAnsi="黑体" w:eastAsia="黑体" w:cs="黑体"/>
                <w:sz w:val="24"/>
                <w:szCs w:val="24"/>
              </w:rPr>
            </w:pPr>
            <w:r>
              <w:rPr>
                <w:rFonts w:hint="eastAsia" w:ascii="黑体" w:hAnsi="黑体" w:eastAsia="黑体" w:cs="黑体"/>
                <w:sz w:val="24"/>
                <w:szCs w:val="24"/>
              </w:rPr>
              <w:t>单位</w:t>
            </w:r>
          </w:p>
        </w:tc>
        <w:tc>
          <w:tcPr>
            <w:tcW w:w="1140" w:type="dxa"/>
            <w:vAlign w:val="center"/>
          </w:tcPr>
          <w:p w14:paraId="06E091CC">
            <w:pPr>
              <w:keepNext w:val="0"/>
              <w:keepLines w:val="0"/>
              <w:pageBreakBefore w:val="0"/>
              <w:wordWrap/>
              <w:topLinePunct w:val="0"/>
              <w:bidi w:val="0"/>
              <w:spacing w:line="560" w:lineRule="exact"/>
              <w:ind w:firstLine="0" w:firstLineChars="0"/>
              <w:jc w:val="center"/>
              <w:rPr>
                <w:rFonts w:ascii="黑体" w:hAnsi="黑体" w:eastAsia="黑体" w:cs="黑体"/>
                <w:sz w:val="24"/>
                <w:szCs w:val="24"/>
              </w:rPr>
            </w:pPr>
            <w:r>
              <w:rPr>
                <w:rFonts w:hint="eastAsia" w:ascii="黑体" w:hAnsi="黑体" w:eastAsia="黑体" w:cs="黑体"/>
                <w:sz w:val="24"/>
                <w:szCs w:val="24"/>
              </w:rPr>
              <w:t>2025年</w:t>
            </w:r>
          </w:p>
        </w:tc>
        <w:tc>
          <w:tcPr>
            <w:tcW w:w="1170" w:type="dxa"/>
            <w:vAlign w:val="center"/>
          </w:tcPr>
          <w:p w14:paraId="18F572BE">
            <w:pPr>
              <w:keepNext w:val="0"/>
              <w:keepLines w:val="0"/>
              <w:pageBreakBefore w:val="0"/>
              <w:wordWrap/>
              <w:topLinePunct w:val="0"/>
              <w:bidi w:val="0"/>
              <w:spacing w:line="560" w:lineRule="exact"/>
              <w:ind w:firstLine="0" w:firstLineChars="0"/>
              <w:jc w:val="center"/>
              <w:rPr>
                <w:rFonts w:ascii="黑体" w:hAnsi="黑体" w:eastAsia="黑体" w:cs="黑体"/>
                <w:sz w:val="24"/>
                <w:szCs w:val="24"/>
              </w:rPr>
            </w:pPr>
            <w:r>
              <w:rPr>
                <w:rFonts w:hint="eastAsia" w:ascii="黑体" w:hAnsi="黑体" w:eastAsia="黑体" w:cs="黑体"/>
                <w:sz w:val="24"/>
                <w:szCs w:val="24"/>
              </w:rPr>
              <w:t>2030年</w:t>
            </w:r>
          </w:p>
        </w:tc>
        <w:tc>
          <w:tcPr>
            <w:tcW w:w="1410" w:type="dxa"/>
            <w:vAlign w:val="center"/>
          </w:tcPr>
          <w:p w14:paraId="63280C37">
            <w:pPr>
              <w:keepNext w:val="0"/>
              <w:keepLines w:val="0"/>
              <w:pageBreakBefore w:val="0"/>
              <w:wordWrap/>
              <w:topLinePunct w:val="0"/>
              <w:bidi w:val="0"/>
              <w:spacing w:line="560" w:lineRule="exact"/>
              <w:ind w:firstLine="0" w:firstLineChars="0"/>
              <w:jc w:val="center"/>
              <w:rPr>
                <w:rFonts w:ascii="黑体" w:hAnsi="黑体" w:eastAsia="黑体" w:cs="黑体"/>
                <w:sz w:val="24"/>
                <w:szCs w:val="24"/>
              </w:rPr>
            </w:pPr>
            <w:r>
              <w:rPr>
                <w:rFonts w:hint="eastAsia" w:ascii="黑体" w:hAnsi="黑体" w:eastAsia="黑体" w:cs="黑体"/>
                <w:sz w:val="24"/>
                <w:szCs w:val="24"/>
              </w:rPr>
              <w:t>“十五五”年均增速/[累计]</w:t>
            </w:r>
          </w:p>
        </w:tc>
        <w:tc>
          <w:tcPr>
            <w:tcW w:w="965" w:type="dxa"/>
            <w:vAlign w:val="center"/>
          </w:tcPr>
          <w:p w14:paraId="51C7BAF5">
            <w:pPr>
              <w:keepNext w:val="0"/>
              <w:keepLines w:val="0"/>
              <w:pageBreakBefore w:val="0"/>
              <w:wordWrap/>
              <w:topLinePunct w:val="0"/>
              <w:bidi w:val="0"/>
              <w:spacing w:line="560" w:lineRule="exact"/>
              <w:ind w:firstLine="0" w:firstLineChars="0"/>
              <w:jc w:val="center"/>
              <w:rPr>
                <w:rFonts w:ascii="黑体" w:hAnsi="黑体" w:eastAsia="黑体" w:cs="黑体"/>
                <w:sz w:val="24"/>
                <w:szCs w:val="24"/>
              </w:rPr>
            </w:pPr>
            <w:r>
              <w:rPr>
                <w:rFonts w:hint="eastAsia" w:ascii="黑体" w:hAnsi="黑体" w:eastAsia="黑体" w:cs="黑体"/>
                <w:sz w:val="24"/>
                <w:szCs w:val="24"/>
              </w:rPr>
              <w:t>属性</w:t>
            </w:r>
          </w:p>
        </w:tc>
      </w:tr>
      <w:tr w14:paraId="5CE4D3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9" w:hRule="atLeast"/>
        </w:trPr>
        <w:tc>
          <w:tcPr>
            <w:tcW w:w="429" w:type="dxa"/>
            <w:vMerge w:val="restart"/>
            <w:vAlign w:val="center"/>
          </w:tcPr>
          <w:p w14:paraId="37C1123D">
            <w:pPr>
              <w:pStyle w:val="27"/>
              <w:keepNext w:val="0"/>
              <w:keepLines w:val="0"/>
              <w:pageBreakBefore w:val="0"/>
              <w:kinsoku w:val="0"/>
              <w:wordWrap/>
              <w:topLinePunct w:val="0"/>
              <w:autoSpaceDE w:val="0"/>
              <w:autoSpaceDN w:val="0"/>
              <w:bidi w:val="0"/>
              <w:adjustRightInd w:val="0"/>
              <w:snapToGrid w:val="0"/>
              <w:spacing w:line="560" w:lineRule="exact"/>
              <w:ind w:firstLine="0" w:firstLineChars="0"/>
              <w:jc w:val="center"/>
              <w:rPr>
                <w:rFonts w:ascii="仿宋_GB2312" w:hAnsi="仿宋_GB2312" w:eastAsia="仿宋_GB2312" w:cs="仿宋_GB2312"/>
                <w:spacing w:val="-4"/>
                <w:sz w:val="24"/>
                <w:szCs w:val="24"/>
                <w:lang w:eastAsia="zh-CN"/>
              </w:rPr>
            </w:pPr>
            <w:r>
              <w:rPr>
                <w:rFonts w:hint="eastAsia" w:ascii="仿宋_GB2312" w:hAnsi="仿宋_GB2312" w:eastAsia="仿宋_GB2312" w:cs="仿宋_GB2312"/>
                <w:spacing w:val="-4"/>
                <w:sz w:val="24"/>
                <w:szCs w:val="24"/>
                <w:lang w:eastAsia="zh-CN"/>
              </w:rPr>
              <w:t>经济发展</w:t>
            </w:r>
          </w:p>
        </w:tc>
        <w:tc>
          <w:tcPr>
            <w:tcW w:w="465" w:type="dxa"/>
            <w:vAlign w:val="center"/>
          </w:tcPr>
          <w:p w14:paraId="0ED6548A">
            <w:pPr>
              <w:pStyle w:val="27"/>
              <w:keepNext w:val="0"/>
              <w:keepLines w:val="0"/>
              <w:pageBreakBefore w:val="0"/>
              <w:kinsoku w:val="0"/>
              <w:wordWrap/>
              <w:topLinePunct w:val="0"/>
              <w:autoSpaceDE w:val="0"/>
              <w:autoSpaceDN w:val="0"/>
              <w:bidi w:val="0"/>
              <w:adjustRightInd w:val="0"/>
              <w:snapToGrid w:val="0"/>
              <w:spacing w:line="560" w:lineRule="exact"/>
              <w:ind w:firstLine="0" w:firstLineChars="0"/>
              <w:jc w:val="center"/>
              <w:rPr>
                <w:rFonts w:ascii="仿宋_GB2312" w:hAnsi="仿宋_GB2312" w:eastAsia="仿宋_GB2312" w:cs="仿宋_GB2312"/>
                <w:spacing w:val="-4"/>
                <w:sz w:val="24"/>
                <w:szCs w:val="24"/>
                <w:lang w:eastAsia="zh-CN"/>
              </w:rPr>
            </w:pPr>
            <w:r>
              <w:rPr>
                <w:rFonts w:hint="eastAsia" w:ascii="仿宋_GB2312" w:hAnsi="仿宋_GB2312" w:eastAsia="仿宋_GB2312" w:cs="仿宋_GB2312"/>
                <w:spacing w:val="-4"/>
                <w:sz w:val="24"/>
                <w:szCs w:val="24"/>
                <w:lang w:eastAsia="zh-CN"/>
              </w:rPr>
              <w:t>1</w:t>
            </w:r>
          </w:p>
        </w:tc>
        <w:tc>
          <w:tcPr>
            <w:tcW w:w="2700" w:type="dxa"/>
            <w:vAlign w:val="center"/>
          </w:tcPr>
          <w:p w14:paraId="21E193B4">
            <w:pPr>
              <w:pStyle w:val="27"/>
              <w:keepNext w:val="0"/>
              <w:keepLines w:val="0"/>
              <w:pageBreakBefore w:val="0"/>
              <w:kinsoku w:val="0"/>
              <w:wordWrap/>
              <w:topLinePunct w:val="0"/>
              <w:autoSpaceDE w:val="0"/>
              <w:autoSpaceDN w:val="0"/>
              <w:bidi w:val="0"/>
              <w:adjustRightInd w:val="0"/>
              <w:snapToGrid w:val="0"/>
              <w:spacing w:line="560" w:lineRule="exact"/>
              <w:ind w:firstLine="0" w:firstLineChars="0"/>
              <w:jc w:val="center"/>
              <w:rPr>
                <w:rFonts w:ascii="仿宋_GB2312" w:hAnsi="仿宋_GB2312" w:eastAsia="仿宋_GB2312" w:cs="仿宋_GB2312"/>
                <w:spacing w:val="-4"/>
                <w:sz w:val="24"/>
                <w:szCs w:val="24"/>
                <w:lang w:eastAsia="zh-CN"/>
              </w:rPr>
            </w:pPr>
            <w:r>
              <w:rPr>
                <w:rFonts w:hint="eastAsia" w:ascii="仿宋_GB2312" w:hAnsi="仿宋_GB2312" w:eastAsia="仿宋_GB2312" w:cs="仿宋_GB2312"/>
                <w:spacing w:val="-4"/>
                <w:sz w:val="24"/>
                <w:szCs w:val="24"/>
                <w:lang w:eastAsia="zh-CN"/>
              </w:rPr>
              <w:t>地区生产总值增速</w:t>
            </w:r>
          </w:p>
        </w:tc>
        <w:tc>
          <w:tcPr>
            <w:tcW w:w="885" w:type="dxa"/>
            <w:vAlign w:val="center"/>
          </w:tcPr>
          <w:p w14:paraId="0F8B2F8D">
            <w:pPr>
              <w:pStyle w:val="27"/>
              <w:keepNext w:val="0"/>
              <w:keepLines w:val="0"/>
              <w:pageBreakBefore w:val="0"/>
              <w:kinsoku w:val="0"/>
              <w:wordWrap/>
              <w:topLinePunct w:val="0"/>
              <w:autoSpaceDE w:val="0"/>
              <w:autoSpaceDN w:val="0"/>
              <w:bidi w:val="0"/>
              <w:adjustRightInd w:val="0"/>
              <w:snapToGrid w:val="0"/>
              <w:spacing w:line="560" w:lineRule="exact"/>
              <w:ind w:firstLine="0" w:firstLineChars="0"/>
              <w:jc w:val="center"/>
              <w:rPr>
                <w:rFonts w:ascii="仿宋_GB2312" w:hAnsi="仿宋_GB2312" w:eastAsia="仿宋_GB2312" w:cs="仿宋_GB2312"/>
                <w:spacing w:val="-4"/>
                <w:sz w:val="24"/>
                <w:szCs w:val="24"/>
                <w:lang w:eastAsia="zh-CN"/>
              </w:rPr>
            </w:pPr>
            <w:r>
              <w:rPr>
                <w:rFonts w:hint="eastAsia" w:ascii="仿宋_GB2312" w:hAnsi="仿宋_GB2312" w:eastAsia="仿宋_GB2312" w:cs="仿宋_GB2312"/>
                <w:spacing w:val="-4"/>
                <w:sz w:val="24"/>
                <w:szCs w:val="24"/>
                <w:lang w:eastAsia="zh-CN"/>
              </w:rPr>
              <w:t>%</w:t>
            </w:r>
          </w:p>
        </w:tc>
        <w:tc>
          <w:tcPr>
            <w:tcW w:w="1140" w:type="dxa"/>
            <w:vAlign w:val="center"/>
          </w:tcPr>
          <w:p w14:paraId="51D0A4ED">
            <w:pPr>
              <w:pStyle w:val="27"/>
              <w:keepNext w:val="0"/>
              <w:keepLines w:val="0"/>
              <w:pageBreakBefore w:val="0"/>
              <w:kinsoku w:val="0"/>
              <w:wordWrap/>
              <w:topLinePunct w:val="0"/>
              <w:autoSpaceDE w:val="0"/>
              <w:autoSpaceDN w:val="0"/>
              <w:bidi w:val="0"/>
              <w:adjustRightInd w:val="0"/>
              <w:snapToGrid w:val="0"/>
              <w:spacing w:line="560" w:lineRule="exact"/>
              <w:ind w:firstLine="0" w:firstLineChars="0"/>
              <w:jc w:val="center"/>
              <w:rPr>
                <w:rFonts w:ascii="仿宋_GB2312" w:hAnsi="仿宋_GB2312" w:eastAsia="仿宋_GB2312" w:cs="仿宋_GB2312"/>
                <w:spacing w:val="-4"/>
                <w:sz w:val="24"/>
                <w:szCs w:val="24"/>
                <w:lang w:eastAsia="zh-CN"/>
              </w:rPr>
            </w:pPr>
            <w:r>
              <w:rPr>
                <w:rFonts w:hint="eastAsia" w:ascii="仿宋_GB2312" w:hAnsi="仿宋_GB2312" w:eastAsia="仿宋_GB2312" w:cs="仿宋_GB2312"/>
                <w:spacing w:val="-4"/>
                <w:sz w:val="24"/>
                <w:szCs w:val="24"/>
                <w:lang w:eastAsia="zh-CN"/>
              </w:rPr>
              <w:t>4.6</w:t>
            </w:r>
          </w:p>
        </w:tc>
        <w:tc>
          <w:tcPr>
            <w:tcW w:w="1170" w:type="dxa"/>
            <w:vAlign w:val="center"/>
          </w:tcPr>
          <w:p w14:paraId="39D4AB48">
            <w:pPr>
              <w:pStyle w:val="27"/>
              <w:keepNext w:val="0"/>
              <w:keepLines w:val="0"/>
              <w:pageBreakBefore w:val="0"/>
              <w:kinsoku w:val="0"/>
              <w:wordWrap/>
              <w:topLinePunct w:val="0"/>
              <w:autoSpaceDE w:val="0"/>
              <w:autoSpaceDN w:val="0"/>
              <w:bidi w:val="0"/>
              <w:adjustRightInd w:val="0"/>
              <w:snapToGrid w:val="0"/>
              <w:spacing w:line="560" w:lineRule="exact"/>
              <w:ind w:firstLine="0" w:firstLineChars="0"/>
              <w:jc w:val="center"/>
              <w:rPr>
                <w:rFonts w:ascii="仿宋_GB2312" w:hAnsi="仿宋_GB2312" w:eastAsia="仿宋_GB2312" w:cs="仿宋_GB2312"/>
                <w:spacing w:val="-4"/>
                <w:sz w:val="24"/>
                <w:szCs w:val="24"/>
                <w:lang w:eastAsia="zh-CN"/>
              </w:rPr>
            </w:pPr>
            <w:r>
              <w:rPr>
                <w:rFonts w:hint="eastAsia" w:ascii="仿宋_GB2312" w:hAnsi="仿宋_GB2312" w:eastAsia="仿宋_GB2312" w:cs="仿宋_GB2312"/>
                <w:spacing w:val="-4"/>
                <w:sz w:val="24"/>
                <w:szCs w:val="24"/>
                <w:lang w:eastAsia="zh-CN"/>
              </w:rPr>
              <w:t>——</w:t>
            </w:r>
          </w:p>
        </w:tc>
        <w:tc>
          <w:tcPr>
            <w:tcW w:w="1410" w:type="dxa"/>
            <w:vAlign w:val="center"/>
          </w:tcPr>
          <w:p w14:paraId="67843D66">
            <w:pPr>
              <w:pStyle w:val="27"/>
              <w:keepNext w:val="0"/>
              <w:keepLines w:val="0"/>
              <w:pageBreakBefore w:val="0"/>
              <w:kinsoku w:val="0"/>
              <w:wordWrap/>
              <w:topLinePunct w:val="0"/>
              <w:autoSpaceDE w:val="0"/>
              <w:autoSpaceDN w:val="0"/>
              <w:bidi w:val="0"/>
              <w:adjustRightInd w:val="0"/>
              <w:snapToGrid w:val="0"/>
              <w:spacing w:line="560" w:lineRule="exact"/>
              <w:ind w:firstLine="0" w:firstLineChars="0"/>
              <w:jc w:val="center"/>
              <w:rPr>
                <w:rFonts w:ascii="仿宋_GB2312" w:hAnsi="仿宋_GB2312" w:eastAsia="仿宋_GB2312" w:cs="仿宋_GB2312"/>
                <w:spacing w:val="-4"/>
                <w:sz w:val="24"/>
                <w:szCs w:val="24"/>
                <w:lang w:eastAsia="zh-CN"/>
              </w:rPr>
            </w:pPr>
            <w:r>
              <w:rPr>
                <w:rFonts w:hint="eastAsia" w:ascii="仿宋_GB2312" w:hAnsi="仿宋_GB2312" w:eastAsia="仿宋_GB2312" w:cs="仿宋_GB2312"/>
                <w:spacing w:val="-4"/>
                <w:sz w:val="24"/>
                <w:szCs w:val="24"/>
                <w:lang w:eastAsia="zh-CN"/>
              </w:rPr>
              <w:t>5.5</w:t>
            </w:r>
          </w:p>
        </w:tc>
        <w:tc>
          <w:tcPr>
            <w:tcW w:w="965" w:type="dxa"/>
            <w:vAlign w:val="center"/>
          </w:tcPr>
          <w:p w14:paraId="58C249CD">
            <w:pPr>
              <w:pStyle w:val="27"/>
              <w:keepNext w:val="0"/>
              <w:keepLines w:val="0"/>
              <w:pageBreakBefore w:val="0"/>
              <w:kinsoku w:val="0"/>
              <w:wordWrap/>
              <w:topLinePunct w:val="0"/>
              <w:autoSpaceDE w:val="0"/>
              <w:autoSpaceDN w:val="0"/>
              <w:bidi w:val="0"/>
              <w:adjustRightInd w:val="0"/>
              <w:snapToGrid w:val="0"/>
              <w:spacing w:line="560" w:lineRule="exact"/>
              <w:ind w:firstLine="0" w:firstLineChars="0"/>
              <w:jc w:val="center"/>
              <w:rPr>
                <w:rFonts w:ascii="仿宋_GB2312" w:hAnsi="仿宋_GB2312" w:eastAsia="仿宋_GB2312" w:cs="仿宋_GB2312"/>
                <w:spacing w:val="-4"/>
                <w:sz w:val="24"/>
                <w:szCs w:val="24"/>
                <w:lang w:eastAsia="zh-CN"/>
              </w:rPr>
            </w:pPr>
            <w:r>
              <w:rPr>
                <w:rFonts w:hint="eastAsia" w:ascii="仿宋_GB2312" w:hAnsi="仿宋_GB2312" w:eastAsia="仿宋_GB2312" w:cs="仿宋_GB2312"/>
                <w:spacing w:val="-4"/>
                <w:sz w:val="24"/>
                <w:szCs w:val="24"/>
                <w:lang w:eastAsia="zh-CN"/>
              </w:rPr>
              <w:t>预期性</w:t>
            </w:r>
          </w:p>
        </w:tc>
      </w:tr>
      <w:tr w14:paraId="6C4A57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29" w:type="dxa"/>
            <w:vMerge w:val="continue"/>
            <w:vAlign w:val="center"/>
          </w:tcPr>
          <w:p w14:paraId="0E7B949F">
            <w:pPr>
              <w:pStyle w:val="27"/>
              <w:keepNext w:val="0"/>
              <w:keepLines w:val="0"/>
              <w:pageBreakBefore w:val="0"/>
              <w:kinsoku w:val="0"/>
              <w:wordWrap/>
              <w:topLinePunct w:val="0"/>
              <w:autoSpaceDE w:val="0"/>
              <w:autoSpaceDN w:val="0"/>
              <w:bidi w:val="0"/>
              <w:adjustRightInd w:val="0"/>
              <w:snapToGrid w:val="0"/>
              <w:spacing w:line="560" w:lineRule="exact"/>
              <w:ind w:firstLine="0" w:firstLineChars="0"/>
              <w:jc w:val="center"/>
              <w:rPr>
                <w:rFonts w:ascii="仿宋_GB2312" w:hAnsi="仿宋_GB2312" w:eastAsia="仿宋_GB2312" w:cs="仿宋_GB2312"/>
                <w:spacing w:val="-4"/>
                <w:sz w:val="24"/>
                <w:szCs w:val="24"/>
                <w:lang w:eastAsia="zh-CN"/>
              </w:rPr>
            </w:pPr>
          </w:p>
        </w:tc>
        <w:tc>
          <w:tcPr>
            <w:tcW w:w="465" w:type="dxa"/>
            <w:vAlign w:val="center"/>
          </w:tcPr>
          <w:p w14:paraId="48C97B01">
            <w:pPr>
              <w:pStyle w:val="27"/>
              <w:keepNext w:val="0"/>
              <w:keepLines w:val="0"/>
              <w:pageBreakBefore w:val="0"/>
              <w:kinsoku w:val="0"/>
              <w:wordWrap/>
              <w:topLinePunct w:val="0"/>
              <w:autoSpaceDE w:val="0"/>
              <w:autoSpaceDN w:val="0"/>
              <w:bidi w:val="0"/>
              <w:adjustRightInd w:val="0"/>
              <w:snapToGrid w:val="0"/>
              <w:spacing w:line="560" w:lineRule="exact"/>
              <w:ind w:firstLine="0" w:firstLineChars="0"/>
              <w:jc w:val="center"/>
              <w:rPr>
                <w:rFonts w:ascii="仿宋_GB2312" w:hAnsi="仿宋_GB2312" w:eastAsia="仿宋_GB2312" w:cs="仿宋_GB2312"/>
                <w:spacing w:val="-4"/>
                <w:sz w:val="24"/>
                <w:szCs w:val="24"/>
                <w:lang w:eastAsia="zh-CN"/>
              </w:rPr>
            </w:pPr>
            <w:r>
              <w:rPr>
                <w:rFonts w:hint="eastAsia" w:ascii="仿宋_GB2312" w:hAnsi="仿宋_GB2312" w:eastAsia="仿宋_GB2312" w:cs="仿宋_GB2312"/>
                <w:spacing w:val="-4"/>
                <w:sz w:val="24"/>
                <w:szCs w:val="24"/>
                <w:lang w:eastAsia="zh-CN"/>
              </w:rPr>
              <w:t>2</w:t>
            </w:r>
          </w:p>
        </w:tc>
        <w:tc>
          <w:tcPr>
            <w:tcW w:w="2700" w:type="dxa"/>
            <w:vAlign w:val="center"/>
          </w:tcPr>
          <w:p w14:paraId="0141EBAD">
            <w:pPr>
              <w:pStyle w:val="27"/>
              <w:keepNext w:val="0"/>
              <w:keepLines w:val="0"/>
              <w:pageBreakBefore w:val="0"/>
              <w:kinsoku w:val="0"/>
              <w:wordWrap/>
              <w:topLinePunct w:val="0"/>
              <w:autoSpaceDE w:val="0"/>
              <w:autoSpaceDN w:val="0"/>
              <w:bidi w:val="0"/>
              <w:adjustRightInd w:val="0"/>
              <w:snapToGrid w:val="0"/>
              <w:spacing w:line="560" w:lineRule="exact"/>
              <w:ind w:firstLine="0" w:firstLineChars="0"/>
              <w:jc w:val="center"/>
              <w:rPr>
                <w:rFonts w:ascii="仿宋_GB2312" w:hAnsi="仿宋_GB2312" w:eastAsia="仿宋_GB2312" w:cs="仿宋_GB2312"/>
                <w:spacing w:val="-4"/>
                <w:sz w:val="24"/>
                <w:szCs w:val="24"/>
                <w:lang w:eastAsia="zh-CN"/>
              </w:rPr>
            </w:pPr>
            <w:r>
              <w:rPr>
                <w:rFonts w:hint="eastAsia" w:ascii="仿宋_GB2312" w:hAnsi="仿宋_GB2312" w:eastAsia="仿宋_GB2312" w:cs="仿宋_GB2312"/>
                <w:spacing w:val="-4"/>
                <w:sz w:val="24"/>
                <w:szCs w:val="24"/>
                <w:lang w:eastAsia="zh-CN"/>
              </w:rPr>
              <w:t>常住人口城镇化率</w:t>
            </w:r>
          </w:p>
        </w:tc>
        <w:tc>
          <w:tcPr>
            <w:tcW w:w="885" w:type="dxa"/>
            <w:vAlign w:val="center"/>
          </w:tcPr>
          <w:p w14:paraId="653A3FAE">
            <w:pPr>
              <w:pStyle w:val="27"/>
              <w:keepNext w:val="0"/>
              <w:keepLines w:val="0"/>
              <w:pageBreakBefore w:val="0"/>
              <w:kinsoku w:val="0"/>
              <w:wordWrap/>
              <w:topLinePunct w:val="0"/>
              <w:autoSpaceDE w:val="0"/>
              <w:autoSpaceDN w:val="0"/>
              <w:bidi w:val="0"/>
              <w:adjustRightInd w:val="0"/>
              <w:snapToGrid w:val="0"/>
              <w:spacing w:line="560" w:lineRule="exact"/>
              <w:ind w:firstLine="0" w:firstLineChars="0"/>
              <w:jc w:val="center"/>
              <w:rPr>
                <w:rFonts w:ascii="仿宋_GB2312" w:hAnsi="仿宋_GB2312" w:eastAsia="仿宋_GB2312" w:cs="仿宋_GB2312"/>
                <w:spacing w:val="-4"/>
                <w:sz w:val="24"/>
                <w:szCs w:val="24"/>
                <w:lang w:eastAsia="zh-CN"/>
              </w:rPr>
            </w:pPr>
            <w:r>
              <w:rPr>
                <w:rFonts w:hint="eastAsia" w:ascii="仿宋_GB2312" w:hAnsi="仿宋_GB2312" w:eastAsia="仿宋_GB2312" w:cs="仿宋_GB2312"/>
                <w:spacing w:val="-4"/>
                <w:sz w:val="24"/>
                <w:szCs w:val="24"/>
                <w:lang w:eastAsia="zh-CN"/>
              </w:rPr>
              <w:t>%</w:t>
            </w:r>
          </w:p>
        </w:tc>
        <w:tc>
          <w:tcPr>
            <w:tcW w:w="1140" w:type="dxa"/>
            <w:vAlign w:val="center"/>
          </w:tcPr>
          <w:p w14:paraId="4D6E8DC7">
            <w:pPr>
              <w:pStyle w:val="27"/>
              <w:keepNext w:val="0"/>
              <w:keepLines w:val="0"/>
              <w:pageBreakBefore w:val="0"/>
              <w:kinsoku w:val="0"/>
              <w:wordWrap/>
              <w:topLinePunct w:val="0"/>
              <w:autoSpaceDE w:val="0"/>
              <w:autoSpaceDN w:val="0"/>
              <w:bidi w:val="0"/>
              <w:adjustRightInd w:val="0"/>
              <w:snapToGrid w:val="0"/>
              <w:spacing w:line="560" w:lineRule="exact"/>
              <w:ind w:firstLine="0" w:firstLineChars="0"/>
              <w:jc w:val="center"/>
              <w:rPr>
                <w:rFonts w:ascii="仿宋_GB2312" w:hAnsi="仿宋_GB2312" w:eastAsia="仿宋_GB2312" w:cs="仿宋_GB2312"/>
                <w:spacing w:val="-4"/>
                <w:sz w:val="24"/>
                <w:szCs w:val="24"/>
                <w:lang w:eastAsia="zh-CN"/>
              </w:rPr>
            </w:pPr>
            <w:r>
              <w:rPr>
                <w:rFonts w:hint="eastAsia" w:ascii="仿宋_GB2312" w:hAnsi="仿宋_GB2312" w:eastAsia="仿宋_GB2312" w:cs="仿宋_GB2312"/>
                <w:spacing w:val="-4"/>
                <w:sz w:val="24"/>
                <w:szCs w:val="24"/>
                <w:lang w:eastAsia="zh-CN"/>
              </w:rPr>
              <w:t>63.95</w:t>
            </w:r>
          </w:p>
        </w:tc>
        <w:tc>
          <w:tcPr>
            <w:tcW w:w="1170" w:type="dxa"/>
            <w:vAlign w:val="center"/>
          </w:tcPr>
          <w:p w14:paraId="77E18BF2">
            <w:pPr>
              <w:pStyle w:val="27"/>
              <w:keepNext w:val="0"/>
              <w:keepLines w:val="0"/>
              <w:pageBreakBefore w:val="0"/>
              <w:kinsoku w:val="0"/>
              <w:wordWrap/>
              <w:topLinePunct w:val="0"/>
              <w:autoSpaceDE w:val="0"/>
              <w:autoSpaceDN w:val="0"/>
              <w:bidi w:val="0"/>
              <w:adjustRightInd w:val="0"/>
              <w:snapToGrid w:val="0"/>
              <w:spacing w:line="560" w:lineRule="exact"/>
              <w:ind w:firstLine="0" w:firstLineChars="0"/>
              <w:jc w:val="center"/>
              <w:rPr>
                <w:rFonts w:ascii="仿宋_GB2312" w:hAnsi="仿宋_GB2312" w:eastAsia="仿宋_GB2312" w:cs="仿宋_GB2312"/>
                <w:spacing w:val="-4"/>
                <w:sz w:val="24"/>
                <w:szCs w:val="24"/>
                <w:lang w:eastAsia="zh-CN"/>
              </w:rPr>
            </w:pPr>
            <w:r>
              <w:rPr>
                <w:rFonts w:hint="eastAsia" w:ascii="仿宋_GB2312" w:hAnsi="仿宋_GB2312" w:eastAsia="仿宋_GB2312" w:cs="仿宋_GB2312"/>
                <w:spacing w:val="-4"/>
                <w:sz w:val="24"/>
                <w:szCs w:val="24"/>
                <w:lang w:eastAsia="zh-CN"/>
              </w:rPr>
              <w:t>69左右</w:t>
            </w:r>
          </w:p>
        </w:tc>
        <w:tc>
          <w:tcPr>
            <w:tcW w:w="1410" w:type="dxa"/>
            <w:vAlign w:val="center"/>
          </w:tcPr>
          <w:p w14:paraId="7C85D0D1">
            <w:pPr>
              <w:pStyle w:val="27"/>
              <w:keepNext w:val="0"/>
              <w:keepLines w:val="0"/>
              <w:pageBreakBefore w:val="0"/>
              <w:kinsoku w:val="0"/>
              <w:wordWrap/>
              <w:topLinePunct w:val="0"/>
              <w:autoSpaceDE w:val="0"/>
              <w:autoSpaceDN w:val="0"/>
              <w:bidi w:val="0"/>
              <w:adjustRightInd w:val="0"/>
              <w:snapToGrid w:val="0"/>
              <w:spacing w:line="560" w:lineRule="exact"/>
              <w:ind w:firstLine="0" w:firstLineChars="0"/>
              <w:jc w:val="center"/>
              <w:rPr>
                <w:rFonts w:ascii="仿宋_GB2312" w:hAnsi="仿宋_GB2312" w:eastAsia="仿宋_GB2312" w:cs="仿宋_GB2312"/>
                <w:spacing w:val="-4"/>
                <w:sz w:val="24"/>
                <w:szCs w:val="24"/>
                <w:lang w:eastAsia="zh-CN"/>
              </w:rPr>
            </w:pPr>
            <w:r>
              <w:rPr>
                <w:rFonts w:hint="eastAsia" w:ascii="仿宋_GB2312" w:hAnsi="仿宋_GB2312" w:eastAsia="仿宋_GB2312" w:cs="仿宋_GB2312"/>
                <w:spacing w:val="-4"/>
                <w:sz w:val="24"/>
                <w:szCs w:val="24"/>
                <w:lang w:eastAsia="zh-CN"/>
              </w:rPr>
              <w:t>——</w:t>
            </w:r>
          </w:p>
        </w:tc>
        <w:tc>
          <w:tcPr>
            <w:tcW w:w="965" w:type="dxa"/>
            <w:vAlign w:val="center"/>
          </w:tcPr>
          <w:p w14:paraId="024F02D8">
            <w:pPr>
              <w:pStyle w:val="27"/>
              <w:keepNext w:val="0"/>
              <w:keepLines w:val="0"/>
              <w:pageBreakBefore w:val="0"/>
              <w:kinsoku w:val="0"/>
              <w:wordWrap/>
              <w:topLinePunct w:val="0"/>
              <w:autoSpaceDE w:val="0"/>
              <w:autoSpaceDN w:val="0"/>
              <w:bidi w:val="0"/>
              <w:adjustRightInd w:val="0"/>
              <w:snapToGrid w:val="0"/>
              <w:spacing w:line="560" w:lineRule="exact"/>
              <w:ind w:firstLine="0" w:firstLineChars="0"/>
              <w:jc w:val="center"/>
              <w:rPr>
                <w:rFonts w:ascii="仿宋_GB2312" w:hAnsi="仿宋_GB2312" w:eastAsia="仿宋_GB2312" w:cs="仿宋_GB2312"/>
                <w:spacing w:val="-4"/>
                <w:sz w:val="24"/>
                <w:szCs w:val="24"/>
                <w:lang w:eastAsia="zh-CN"/>
              </w:rPr>
            </w:pPr>
            <w:r>
              <w:rPr>
                <w:rFonts w:hint="eastAsia" w:ascii="仿宋_GB2312" w:hAnsi="仿宋_GB2312" w:eastAsia="仿宋_GB2312" w:cs="仿宋_GB2312"/>
                <w:spacing w:val="-4"/>
                <w:sz w:val="24"/>
                <w:szCs w:val="24"/>
                <w:lang w:eastAsia="zh-CN"/>
              </w:rPr>
              <w:t>预期性</w:t>
            </w:r>
          </w:p>
        </w:tc>
      </w:tr>
      <w:tr w14:paraId="7D2C48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29" w:type="dxa"/>
            <w:vMerge w:val="restart"/>
            <w:vAlign w:val="center"/>
          </w:tcPr>
          <w:p w14:paraId="005F45BB">
            <w:pPr>
              <w:keepNext w:val="0"/>
              <w:keepLines w:val="0"/>
              <w:pageBreakBefore w:val="0"/>
              <w:wordWrap/>
              <w:topLinePunct w:val="0"/>
              <w:bidi w:val="0"/>
              <w:spacing w:line="560" w:lineRule="exact"/>
              <w:ind w:firstLine="0" w:firstLineChars="0"/>
              <w:jc w:val="center"/>
              <w:rPr>
                <w:spacing w:val="-4"/>
                <w:sz w:val="24"/>
                <w:szCs w:val="24"/>
              </w:rPr>
            </w:pPr>
            <w:r>
              <w:rPr>
                <w:rFonts w:hint="eastAsia"/>
                <w:sz w:val="24"/>
                <w:szCs w:val="24"/>
              </w:rPr>
              <w:t>创新驱动</w:t>
            </w:r>
          </w:p>
        </w:tc>
        <w:tc>
          <w:tcPr>
            <w:tcW w:w="465" w:type="dxa"/>
            <w:vAlign w:val="center"/>
          </w:tcPr>
          <w:p w14:paraId="1DAF7954">
            <w:pPr>
              <w:pStyle w:val="27"/>
              <w:keepNext w:val="0"/>
              <w:keepLines w:val="0"/>
              <w:pageBreakBefore w:val="0"/>
              <w:kinsoku w:val="0"/>
              <w:wordWrap/>
              <w:topLinePunct w:val="0"/>
              <w:autoSpaceDE w:val="0"/>
              <w:autoSpaceDN w:val="0"/>
              <w:bidi w:val="0"/>
              <w:adjustRightInd w:val="0"/>
              <w:snapToGrid w:val="0"/>
              <w:spacing w:line="560" w:lineRule="exact"/>
              <w:ind w:firstLine="0" w:firstLineChars="0"/>
              <w:jc w:val="center"/>
              <w:rPr>
                <w:rFonts w:ascii="仿宋_GB2312" w:hAnsi="仿宋_GB2312" w:eastAsia="仿宋_GB2312" w:cs="仿宋_GB2312"/>
                <w:spacing w:val="-4"/>
                <w:sz w:val="24"/>
                <w:szCs w:val="24"/>
                <w:lang w:eastAsia="zh-CN"/>
              </w:rPr>
            </w:pPr>
            <w:r>
              <w:rPr>
                <w:rFonts w:hint="eastAsia" w:ascii="仿宋_GB2312" w:hAnsi="仿宋_GB2312" w:eastAsia="仿宋_GB2312" w:cs="仿宋_GB2312"/>
                <w:spacing w:val="-4"/>
                <w:sz w:val="24"/>
                <w:szCs w:val="24"/>
                <w:lang w:eastAsia="zh-CN"/>
              </w:rPr>
              <w:t>3</w:t>
            </w:r>
          </w:p>
        </w:tc>
        <w:tc>
          <w:tcPr>
            <w:tcW w:w="2700" w:type="dxa"/>
            <w:vAlign w:val="center"/>
          </w:tcPr>
          <w:p w14:paraId="0578465E">
            <w:pPr>
              <w:pStyle w:val="27"/>
              <w:keepNext w:val="0"/>
              <w:keepLines w:val="0"/>
              <w:pageBreakBefore w:val="0"/>
              <w:kinsoku w:val="0"/>
              <w:wordWrap/>
              <w:topLinePunct w:val="0"/>
              <w:autoSpaceDE w:val="0"/>
              <w:autoSpaceDN w:val="0"/>
              <w:bidi w:val="0"/>
              <w:adjustRightInd w:val="0"/>
              <w:snapToGrid w:val="0"/>
              <w:spacing w:line="560" w:lineRule="exact"/>
              <w:ind w:firstLine="0" w:firstLineChars="0"/>
              <w:jc w:val="center"/>
              <w:textAlignment w:val="baseline"/>
              <w:rPr>
                <w:rFonts w:ascii="仿宋_GB2312" w:hAnsi="仿宋_GB2312" w:eastAsia="仿宋_GB2312" w:cs="仿宋_GB2312"/>
                <w:spacing w:val="-4"/>
                <w:sz w:val="24"/>
                <w:szCs w:val="24"/>
                <w:lang w:eastAsia="zh-CN"/>
              </w:rPr>
            </w:pPr>
            <w:r>
              <w:rPr>
                <w:rFonts w:hint="eastAsia" w:ascii="仿宋_GB2312" w:hAnsi="仿宋_GB2312" w:eastAsia="仿宋_GB2312" w:cs="仿宋_GB2312"/>
                <w:spacing w:val="-4"/>
                <w:sz w:val="24"/>
                <w:szCs w:val="24"/>
                <w:lang w:eastAsia="zh-CN"/>
              </w:rPr>
              <w:t>全社会研发经费投入增长</w:t>
            </w:r>
          </w:p>
        </w:tc>
        <w:tc>
          <w:tcPr>
            <w:tcW w:w="885" w:type="dxa"/>
            <w:vAlign w:val="center"/>
          </w:tcPr>
          <w:p w14:paraId="5E10B589">
            <w:pPr>
              <w:pStyle w:val="27"/>
              <w:keepNext w:val="0"/>
              <w:keepLines w:val="0"/>
              <w:pageBreakBefore w:val="0"/>
              <w:kinsoku w:val="0"/>
              <w:wordWrap/>
              <w:topLinePunct w:val="0"/>
              <w:autoSpaceDE w:val="0"/>
              <w:autoSpaceDN w:val="0"/>
              <w:bidi w:val="0"/>
              <w:adjustRightInd w:val="0"/>
              <w:snapToGrid w:val="0"/>
              <w:spacing w:line="560" w:lineRule="exact"/>
              <w:ind w:firstLine="0" w:firstLineChars="0"/>
              <w:jc w:val="center"/>
              <w:textAlignment w:val="baseline"/>
              <w:rPr>
                <w:rFonts w:ascii="仿宋_GB2312" w:hAnsi="仿宋_GB2312" w:eastAsia="仿宋_GB2312" w:cs="仿宋_GB2312"/>
                <w:spacing w:val="-4"/>
                <w:sz w:val="24"/>
                <w:szCs w:val="24"/>
                <w:lang w:eastAsia="zh-CN"/>
              </w:rPr>
            </w:pPr>
            <w:r>
              <w:rPr>
                <w:rFonts w:hint="eastAsia" w:ascii="仿宋_GB2312" w:hAnsi="仿宋_GB2312" w:eastAsia="仿宋_GB2312" w:cs="仿宋_GB2312"/>
                <w:spacing w:val="-4"/>
                <w:sz w:val="24"/>
                <w:szCs w:val="24"/>
                <w:lang w:eastAsia="zh-CN"/>
              </w:rPr>
              <w:t>%</w:t>
            </w:r>
          </w:p>
        </w:tc>
        <w:tc>
          <w:tcPr>
            <w:tcW w:w="1140" w:type="dxa"/>
            <w:vAlign w:val="center"/>
          </w:tcPr>
          <w:p w14:paraId="25D1F39D">
            <w:pPr>
              <w:pStyle w:val="27"/>
              <w:keepNext w:val="0"/>
              <w:keepLines w:val="0"/>
              <w:pageBreakBefore w:val="0"/>
              <w:kinsoku w:val="0"/>
              <w:wordWrap/>
              <w:topLinePunct w:val="0"/>
              <w:autoSpaceDE w:val="0"/>
              <w:autoSpaceDN w:val="0"/>
              <w:bidi w:val="0"/>
              <w:adjustRightInd w:val="0"/>
              <w:snapToGrid w:val="0"/>
              <w:spacing w:line="560" w:lineRule="exact"/>
              <w:ind w:firstLine="0" w:firstLineChars="0"/>
              <w:jc w:val="center"/>
              <w:textAlignment w:val="baseline"/>
              <w:rPr>
                <w:rFonts w:ascii="仿宋_GB2312" w:hAnsi="仿宋_GB2312" w:eastAsia="仿宋_GB2312" w:cs="仿宋_GB2312"/>
                <w:spacing w:val="-4"/>
                <w:sz w:val="24"/>
                <w:szCs w:val="24"/>
                <w:lang w:eastAsia="zh-CN"/>
              </w:rPr>
            </w:pPr>
            <w:r>
              <w:rPr>
                <w:rFonts w:hint="eastAsia" w:ascii="仿宋_GB2312" w:hAnsi="仿宋_GB2312" w:eastAsia="仿宋_GB2312" w:cs="仿宋_GB2312"/>
                <w:spacing w:val="-4"/>
                <w:sz w:val="24"/>
                <w:szCs w:val="24"/>
                <w:lang w:eastAsia="zh-CN"/>
              </w:rPr>
              <w:t>7.7*</w:t>
            </w:r>
          </w:p>
        </w:tc>
        <w:tc>
          <w:tcPr>
            <w:tcW w:w="1170" w:type="dxa"/>
            <w:vAlign w:val="center"/>
          </w:tcPr>
          <w:p w14:paraId="7F64729F">
            <w:pPr>
              <w:pStyle w:val="27"/>
              <w:keepNext w:val="0"/>
              <w:keepLines w:val="0"/>
              <w:pageBreakBefore w:val="0"/>
              <w:kinsoku w:val="0"/>
              <w:wordWrap/>
              <w:topLinePunct w:val="0"/>
              <w:autoSpaceDE w:val="0"/>
              <w:autoSpaceDN w:val="0"/>
              <w:bidi w:val="0"/>
              <w:adjustRightInd w:val="0"/>
              <w:snapToGrid w:val="0"/>
              <w:spacing w:line="560" w:lineRule="exact"/>
              <w:ind w:firstLine="0" w:firstLineChars="0"/>
              <w:jc w:val="center"/>
              <w:textAlignment w:val="baseline"/>
              <w:rPr>
                <w:rFonts w:ascii="仿宋_GB2312" w:hAnsi="仿宋_GB2312" w:eastAsia="仿宋_GB2312" w:cs="仿宋_GB2312"/>
                <w:spacing w:val="-4"/>
                <w:sz w:val="24"/>
                <w:szCs w:val="24"/>
                <w:lang w:eastAsia="zh-CN"/>
              </w:rPr>
            </w:pPr>
            <w:r>
              <w:rPr>
                <w:rFonts w:hint="eastAsia" w:ascii="仿宋_GB2312" w:hAnsi="仿宋_GB2312" w:eastAsia="仿宋_GB2312" w:cs="仿宋_GB2312"/>
                <w:spacing w:val="-4"/>
                <w:sz w:val="24"/>
                <w:szCs w:val="24"/>
                <w:lang w:eastAsia="zh-CN"/>
              </w:rPr>
              <w:t>——</w:t>
            </w:r>
          </w:p>
        </w:tc>
        <w:tc>
          <w:tcPr>
            <w:tcW w:w="1410" w:type="dxa"/>
            <w:vAlign w:val="center"/>
          </w:tcPr>
          <w:p w14:paraId="1DC3F062">
            <w:pPr>
              <w:pStyle w:val="27"/>
              <w:keepNext w:val="0"/>
              <w:keepLines w:val="0"/>
              <w:pageBreakBefore w:val="0"/>
              <w:kinsoku w:val="0"/>
              <w:wordWrap/>
              <w:topLinePunct w:val="0"/>
              <w:autoSpaceDE w:val="0"/>
              <w:autoSpaceDN w:val="0"/>
              <w:bidi w:val="0"/>
              <w:adjustRightInd w:val="0"/>
              <w:snapToGrid w:val="0"/>
              <w:spacing w:line="560" w:lineRule="exact"/>
              <w:ind w:firstLine="0" w:firstLineChars="0"/>
              <w:jc w:val="center"/>
              <w:textAlignment w:val="baseline"/>
              <w:rPr>
                <w:rFonts w:ascii="仿宋_GB2312" w:hAnsi="仿宋_GB2312" w:eastAsia="仿宋_GB2312" w:cs="仿宋_GB2312"/>
                <w:spacing w:val="-4"/>
                <w:sz w:val="24"/>
                <w:szCs w:val="24"/>
                <w:lang w:eastAsia="zh-CN"/>
              </w:rPr>
            </w:pPr>
            <w:r>
              <w:rPr>
                <w:rFonts w:hint="eastAsia" w:ascii="仿宋_GB2312" w:hAnsi="仿宋_GB2312" w:eastAsia="仿宋_GB2312" w:cs="仿宋_GB2312"/>
                <w:spacing w:val="-4"/>
                <w:sz w:val="24"/>
                <w:szCs w:val="24"/>
                <w:lang w:eastAsia="zh-CN"/>
              </w:rPr>
              <w:t>7</w:t>
            </w:r>
          </w:p>
        </w:tc>
        <w:tc>
          <w:tcPr>
            <w:tcW w:w="965" w:type="dxa"/>
            <w:vAlign w:val="center"/>
          </w:tcPr>
          <w:p w14:paraId="2AD72C11">
            <w:pPr>
              <w:pStyle w:val="27"/>
              <w:keepNext w:val="0"/>
              <w:keepLines w:val="0"/>
              <w:pageBreakBefore w:val="0"/>
              <w:kinsoku w:val="0"/>
              <w:wordWrap/>
              <w:topLinePunct w:val="0"/>
              <w:autoSpaceDE w:val="0"/>
              <w:autoSpaceDN w:val="0"/>
              <w:bidi w:val="0"/>
              <w:adjustRightInd w:val="0"/>
              <w:snapToGrid w:val="0"/>
              <w:spacing w:line="560" w:lineRule="exact"/>
              <w:ind w:firstLine="0" w:firstLineChars="0"/>
              <w:jc w:val="center"/>
              <w:textAlignment w:val="baseline"/>
              <w:rPr>
                <w:rFonts w:ascii="仿宋_GB2312" w:hAnsi="仿宋_GB2312" w:eastAsia="仿宋_GB2312" w:cs="仿宋_GB2312"/>
                <w:spacing w:val="-4"/>
                <w:sz w:val="24"/>
                <w:szCs w:val="24"/>
                <w:lang w:eastAsia="zh-CN"/>
              </w:rPr>
            </w:pPr>
            <w:r>
              <w:rPr>
                <w:rFonts w:hint="eastAsia" w:ascii="仿宋_GB2312" w:hAnsi="仿宋_GB2312" w:eastAsia="仿宋_GB2312" w:cs="仿宋_GB2312"/>
                <w:spacing w:val="-4"/>
                <w:sz w:val="24"/>
                <w:szCs w:val="24"/>
                <w:lang w:eastAsia="zh-CN"/>
              </w:rPr>
              <w:t>预期性</w:t>
            </w:r>
          </w:p>
        </w:tc>
      </w:tr>
      <w:tr w14:paraId="138B8D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29" w:type="dxa"/>
            <w:vMerge w:val="continue"/>
            <w:vAlign w:val="center"/>
          </w:tcPr>
          <w:p w14:paraId="30DDACC8">
            <w:pPr>
              <w:keepNext w:val="0"/>
              <w:keepLines w:val="0"/>
              <w:pageBreakBefore w:val="0"/>
              <w:wordWrap/>
              <w:topLinePunct w:val="0"/>
              <w:bidi w:val="0"/>
              <w:spacing w:line="560" w:lineRule="exact"/>
              <w:ind w:firstLine="0" w:firstLineChars="0"/>
              <w:jc w:val="center"/>
              <w:rPr>
                <w:spacing w:val="-4"/>
                <w:sz w:val="24"/>
                <w:szCs w:val="24"/>
              </w:rPr>
            </w:pPr>
          </w:p>
        </w:tc>
        <w:tc>
          <w:tcPr>
            <w:tcW w:w="465" w:type="dxa"/>
            <w:vAlign w:val="center"/>
          </w:tcPr>
          <w:p w14:paraId="024E5C6F">
            <w:pPr>
              <w:keepNext w:val="0"/>
              <w:keepLines w:val="0"/>
              <w:pageBreakBefore w:val="0"/>
              <w:wordWrap/>
              <w:topLinePunct w:val="0"/>
              <w:bidi w:val="0"/>
              <w:spacing w:line="560" w:lineRule="exact"/>
              <w:ind w:firstLine="0" w:firstLineChars="0"/>
              <w:jc w:val="center"/>
              <w:rPr>
                <w:spacing w:val="-4"/>
                <w:sz w:val="24"/>
                <w:szCs w:val="24"/>
              </w:rPr>
            </w:pPr>
            <w:r>
              <w:rPr>
                <w:rFonts w:hint="eastAsia"/>
                <w:sz w:val="24"/>
                <w:szCs w:val="24"/>
              </w:rPr>
              <w:t>4</w:t>
            </w:r>
          </w:p>
        </w:tc>
        <w:tc>
          <w:tcPr>
            <w:tcW w:w="2700" w:type="dxa"/>
            <w:vAlign w:val="center"/>
          </w:tcPr>
          <w:p w14:paraId="5081C1E9">
            <w:pPr>
              <w:pStyle w:val="27"/>
              <w:keepNext w:val="0"/>
              <w:keepLines w:val="0"/>
              <w:pageBreakBefore w:val="0"/>
              <w:kinsoku w:val="0"/>
              <w:wordWrap/>
              <w:topLinePunct w:val="0"/>
              <w:autoSpaceDE w:val="0"/>
              <w:autoSpaceDN w:val="0"/>
              <w:bidi w:val="0"/>
              <w:adjustRightInd w:val="0"/>
              <w:snapToGrid w:val="0"/>
              <w:spacing w:line="560" w:lineRule="exact"/>
              <w:ind w:firstLine="0" w:firstLineChars="0"/>
              <w:jc w:val="center"/>
              <w:textAlignment w:val="baseline"/>
              <w:rPr>
                <w:rFonts w:ascii="仿宋_GB2312" w:hAnsi="仿宋_GB2312" w:eastAsia="仿宋_GB2312" w:cs="仿宋_GB2312"/>
                <w:spacing w:val="-4"/>
                <w:sz w:val="24"/>
                <w:szCs w:val="24"/>
                <w:lang w:eastAsia="zh-CN"/>
              </w:rPr>
            </w:pPr>
            <w:r>
              <w:rPr>
                <w:rFonts w:hint="eastAsia" w:ascii="仿宋_GB2312" w:hAnsi="仿宋_GB2312" w:eastAsia="仿宋_GB2312" w:cs="仿宋_GB2312"/>
                <w:spacing w:val="-4"/>
                <w:sz w:val="24"/>
                <w:szCs w:val="24"/>
                <w:lang w:eastAsia="zh-CN"/>
              </w:rPr>
              <w:t>每万人口高价值发明专利拥有量</w:t>
            </w:r>
          </w:p>
        </w:tc>
        <w:tc>
          <w:tcPr>
            <w:tcW w:w="885" w:type="dxa"/>
            <w:vAlign w:val="center"/>
          </w:tcPr>
          <w:p w14:paraId="03D2A1AA">
            <w:pPr>
              <w:pStyle w:val="27"/>
              <w:keepNext w:val="0"/>
              <w:keepLines w:val="0"/>
              <w:pageBreakBefore w:val="0"/>
              <w:kinsoku w:val="0"/>
              <w:wordWrap/>
              <w:topLinePunct w:val="0"/>
              <w:autoSpaceDE w:val="0"/>
              <w:autoSpaceDN w:val="0"/>
              <w:bidi w:val="0"/>
              <w:adjustRightInd w:val="0"/>
              <w:snapToGrid w:val="0"/>
              <w:spacing w:line="560" w:lineRule="exact"/>
              <w:ind w:firstLine="0" w:firstLineChars="0"/>
              <w:jc w:val="center"/>
              <w:textAlignment w:val="baseline"/>
              <w:rPr>
                <w:rFonts w:ascii="仿宋_GB2312" w:hAnsi="仿宋_GB2312" w:eastAsia="仿宋_GB2312" w:cs="仿宋_GB2312"/>
                <w:spacing w:val="-4"/>
                <w:sz w:val="24"/>
                <w:szCs w:val="24"/>
                <w:lang w:eastAsia="zh-CN"/>
              </w:rPr>
            </w:pPr>
            <w:r>
              <w:rPr>
                <w:rFonts w:hint="eastAsia" w:ascii="仿宋_GB2312" w:hAnsi="仿宋_GB2312" w:eastAsia="仿宋_GB2312" w:cs="仿宋_GB2312"/>
                <w:spacing w:val="-4"/>
                <w:sz w:val="24"/>
                <w:szCs w:val="24"/>
                <w:lang w:eastAsia="zh-CN"/>
              </w:rPr>
              <w:t>件</w:t>
            </w:r>
          </w:p>
        </w:tc>
        <w:tc>
          <w:tcPr>
            <w:tcW w:w="1140" w:type="dxa"/>
            <w:vAlign w:val="center"/>
          </w:tcPr>
          <w:p w14:paraId="5CD43742">
            <w:pPr>
              <w:pStyle w:val="27"/>
              <w:keepNext w:val="0"/>
              <w:keepLines w:val="0"/>
              <w:pageBreakBefore w:val="0"/>
              <w:kinsoku w:val="0"/>
              <w:wordWrap/>
              <w:topLinePunct w:val="0"/>
              <w:autoSpaceDE w:val="0"/>
              <w:autoSpaceDN w:val="0"/>
              <w:bidi w:val="0"/>
              <w:adjustRightInd w:val="0"/>
              <w:snapToGrid w:val="0"/>
              <w:spacing w:line="560" w:lineRule="exact"/>
              <w:ind w:firstLine="0" w:firstLineChars="0"/>
              <w:jc w:val="center"/>
              <w:textAlignment w:val="baseline"/>
              <w:rPr>
                <w:rFonts w:ascii="仿宋_GB2312" w:hAnsi="仿宋_GB2312" w:eastAsia="仿宋_GB2312" w:cs="仿宋_GB2312"/>
                <w:spacing w:val="-4"/>
                <w:sz w:val="24"/>
                <w:szCs w:val="24"/>
                <w:lang w:eastAsia="zh-CN"/>
              </w:rPr>
            </w:pPr>
            <w:r>
              <w:rPr>
                <w:rFonts w:hint="eastAsia" w:ascii="仿宋_GB2312" w:hAnsi="仿宋_GB2312" w:eastAsia="仿宋_GB2312" w:cs="仿宋_GB2312"/>
                <w:spacing w:val="-4"/>
                <w:sz w:val="24"/>
                <w:szCs w:val="24"/>
                <w:lang w:eastAsia="zh-CN"/>
              </w:rPr>
              <w:t>63</w:t>
            </w:r>
          </w:p>
        </w:tc>
        <w:tc>
          <w:tcPr>
            <w:tcW w:w="1170" w:type="dxa"/>
            <w:vAlign w:val="center"/>
          </w:tcPr>
          <w:p w14:paraId="181F4E98">
            <w:pPr>
              <w:pStyle w:val="27"/>
              <w:keepNext w:val="0"/>
              <w:keepLines w:val="0"/>
              <w:pageBreakBefore w:val="0"/>
              <w:kinsoku w:val="0"/>
              <w:wordWrap/>
              <w:topLinePunct w:val="0"/>
              <w:autoSpaceDE w:val="0"/>
              <w:autoSpaceDN w:val="0"/>
              <w:bidi w:val="0"/>
              <w:adjustRightInd w:val="0"/>
              <w:snapToGrid w:val="0"/>
              <w:spacing w:line="560" w:lineRule="exact"/>
              <w:ind w:firstLine="0" w:firstLineChars="0"/>
              <w:jc w:val="center"/>
              <w:textAlignment w:val="baseline"/>
              <w:rPr>
                <w:rFonts w:ascii="仿宋_GB2312" w:hAnsi="仿宋_GB2312" w:eastAsia="仿宋_GB2312" w:cs="仿宋_GB2312"/>
                <w:spacing w:val="-4"/>
                <w:sz w:val="24"/>
                <w:szCs w:val="24"/>
                <w:lang w:eastAsia="zh-CN"/>
              </w:rPr>
            </w:pPr>
            <w:r>
              <w:rPr>
                <w:rFonts w:hint="eastAsia" w:ascii="仿宋_GB2312" w:hAnsi="仿宋_GB2312" w:eastAsia="仿宋_GB2312" w:cs="仿宋_GB2312"/>
                <w:spacing w:val="-4"/>
                <w:sz w:val="24"/>
                <w:szCs w:val="24"/>
                <w:lang w:eastAsia="zh-CN"/>
              </w:rPr>
              <w:t>高于全市平均</w:t>
            </w:r>
          </w:p>
        </w:tc>
        <w:tc>
          <w:tcPr>
            <w:tcW w:w="1410" w:type="dxa"/>
            <w:vAlign w:val="center"/>
          </w:tcPr>
          <w:p w14:paraId="2CFF9D8C">
            <w:pPr>
              <w:pStyle w:val="27"/>
              <w:keepNext w:val="0"/>
              <w:keepLines w:val="0"/>
              <w:pageBreakBefore w:val="0"/>
              <w:kinsoku w:val="0"/>
              <w:wordWrap/>
              <w:topLinePunct w:val="0"/>
              <w:autoSpaceDE w:val="0"/>
              <w:autoSpaceDN w:val="0"/>
              <w:bidi w:val="0"/>
              <w:adjustRightInd w:val="0"/>
              <w:snapToGrid w:val="0"/>
              <w:spacing w:line="560" w:lineRule="exact"/>
              <w:ind w:firstLine="0" w:firstLineChars="0"/>
              <w:jc w:val="center"/>
              <w:textAlignment w:val="baseline"/>
              <w:rPr>
                <w:rFonts w:ascii="仿宋_GB2312" w:hAnsi="仿宋_GB2312" w:eastAsia="仿宋_GB2312" w:cs="仿宋_GB2312"/>
                <w:spacing w:val="-4"/>
                <w:sz w:val="24"/>
                <w:szCs w:val="24"/>
                <w:lang w:eastAsia="zh-CN"/>
              </w:rPr>
            </w:pPr>
            <w:r>
              <w:rPr>
                <w:rFonts w:hint="eastAsia" w:ascii="仿宋_GB2312" w:hAnsi="仿宋_GB2312" w:eastAsia="仿宋_GB2312" w:cs="仿宋_GB2312"/>
                <w:spacing w:val="-4"/>
                <w:sz w:val="24"/>
                <w:szCs w:val="24"/>
                <w:lang w:eastAsia="zh-CN"/>
              </w:rPr>
              <w:t>——</w:t>
            </w:r>
          </w:p>
        </w:tc>
        <w:tc>
          <w:tcPr>
            <w:tcW w:w="965" w:type="dxa"/>
            <w:vAlign w:val="center"/>
          </w:tcPr>
          <w:p w14:paraId="0345ECFC">
            <w:pPr>
              <w:pStyle w:val="27"/>
              <w:keepNext w:val="0"/>
              <w:keepLines w:val="0"/>
              <w:pageBreakBefore w:val="0"/>
              <w:kinsoku w:val="0"/>
              <w:wordWrap/>
              <w:topLinePunct w:val="0"/>
              <w:autoSpaceDE w:val="0"/>
              <w:autoSpaceDN w:val="0"/>
              <w:bidi w:val="0"/>
              <w:adjustRightInd w:val="0"/>
              <w:snapToGrid w:val="0"/>
              <w:spacing w:line="560" w:lineRule="exact"/>
              <w:ind w:firstLine="0" w:firstLineChars="0"/>
              <w:jc w:val="center"/>
              <w:textAlignment w:val="baseline"/>
              <w:rPr>
                <w:rFonts w:ascii="仿宋_GB2312" w:hAnsi="仿宋_GB2312" w:eastAsia="仿宋_GB2312" w:cs="仿宋_GB2312"/>
                <w:spacing w:val="-4"/>
                <w:sz w:val="24"/>
                <w:szCs w:val="24"/>
                <w:lang w:eastAsia="zh-CN"/>
              </w:rPr>
            </w:pPr>
            <w:r>
              <w:rPr>
                <w:rFonts w:hint="eastAsia" w:ascii="仿宋_GB2312" w:hAnsi="仿宋_GB2312" w:eastAsia="仿宋_GB2312" w:cs="仿宋_GB2312"/>
                <w:spacing w:val="-4"/>
                <w:sz w:val="24"/>
                <w:szCs w:val="24"/>
                <w:lang w:eastAsia="zh-CN"/>
              </w:rPr>
              <w:t>预期性</w:t>
            </w:r>
          </w:p>
        </w:tc>
      </w:tr>
      <w:tr w14:paraId="20625C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29" w:type="dxa"/>
            <w:vMerge w:val="restart"/>
            <w:vAlign w:val="center"/>
          </w:tcPr>
          <w:p w14:paraId="51FAE5F0">
            <w:pPr>
              <w:keepNext w:val="0"/>
              <w:keepLines w:val="0"/>
              <w:pageBreakBefore w:val="0"/>
              <w:wordWrap/>
              <w:topLinePunct w:val="0"/>
              <w:bidi w:val="0"/>
              <w:spacing w:line="560" w:lineRule="exact"/>
              <w:ind w:firstLine="0" w:firstLineChars="0"/>
              <w:jc w:val="center"/>
              <w:rPr>
                <w:spacing w:val="-4"/>
                <w:sz w:val="24"/>
                <w:szCs w:val="24"/>
              </w:rPr>
            </w:pPr>
            <w:r>
              <w:rPr>
                <w:rFonts w:hint="eastAsia"/>
                <w:sz w:val="24"/>
                <w:szCs w:val="24"/>
              </w:rPr>
              <w:t>民生福祉</w:t>
            </w:r>
          </w:p>
        </w:tc>
        <w:tc>
          <w:tcPr>
            <w:tcW w:w="465" w:type="dxa"/>
            <w:vAlign w:val="center"/>
          </w:tcPr>
          <w:p w14:paraId="31C45FCB">
            <w:pPr>
              <w:keepNext w:val="0"/>
              <w:keepLines w:val="0"/>
              <w:pageBreakBefore w:val="0"/>
              <w:wordWrap/>
              <w:topLinePunct w:val="0"/>
              <w:bidi w:val="0"/>
              <w:spacing w:line="560" w:lineRule="exact"/>
              <w:ind w:firstLine="0" w:firstLineChars="0"/>
              <w:jc w:val="center"/>
              <w:rPr>
                <w:spacing w:val="-4"/>
                <w:sz w:val="24"/>
                <w:szCs w:val="24"/>
              </w:rPr>
            </w:pPr>
            <w:r>
              <w:rPr>
                <w:rFonts w:hint="eastAsia"/>
                <w:sz w:val="24"/>
                <w:szCs w:val="24"/>
              </w:rPr>
              <w:t>5</w:t>
            </w:r>
          </w:p>
        </w:tc>
        <w:tc>
          <w:tcPr>
            <w:tcW w:w="2700" w:type="dxa"/>
            <w:vAlign w:val="center"/>
          </w:tcPr>
          <w:p w14:paraId="7CCEDBBB">
            <w:pPr>
              <w:pStyle w:val="27"/>
              <w:keepNext w:val="0"/>
              <w:keepLines w:val="0"/>
              <w:pageBreakBefore w:val="0"/>
              <w:kinsoku w:val="0"/>
              <w:wordWrap/>
              <w:topLinePunct w:val="0"/>
              <w:autoSpaceDE w:val="0"/>
              <w:autoSpaceDN w:val="0"/>
              <w:bidi w:val="0"/>
              <w:adjustRightInd w:val="0"/>
              <w:snapToGrid w:val="0"/>
              <w:spacing w:line="560" w:lineRule="exact"/>
              <w:ind w:firstLine="0" w:firstLineChars="0"/>
              <w:jc w:val="center"/>
              <w:textAlignment w:val="baseline"/>
              <w:rPr>
                <w:rFonts w:ascii="仿宋_GB2312" w:hAnsi="仿宋_GB2312" w:eastAsia="仿宋_GB2312" w:cs="仿宋_GB2312"/>
                <w:spacing w:val="-4"/>
                <w:sz w:val="24"/>
                <w:szCs w:val="24"/>
                <w:lang w:eastAsia="zh-CN"/>
              </w:rPr>
            </w:pPr>
            <w:r>
              <w:rPr>
                <w:rFonts w:hint="eastAsia" w:ascii="仿宋_GB2312" w:hAnsi="仿宋_GB2312" w:eastAsia="仿宋_GB2312" w:cs="仿宋_GB2312"/>
                <w:spacing w:val="-4"/>
                <w:sz w:val="24"/>
                <w:szCs w:val="24"/>
                <w:lang w:eastAsia="zh-CN"/>
              </w:rPr>
              <w:t>居民人均可支配收入增长</w:t>
            </w:r>
          </w:p>
        </w:tc>
        <w:tc>
          <w:tcPr>
            <w:tcW w:w="885" w:type="dxa"/>
            <w:vAlign w:val="center"/>
          </w:tcPr>
          <w:p w14:paraId="112F342E">
            <w:pPr>
              <w:pStyle w:val="27"/>
              <w:keepNext w:val="0"/>
              <w:keepLines w:val="0"/>
              <w:pageBreakBefore w:val="0"/>
              <w:kinsoku w:val="0"/>
              <w:wordWrap/>
              <w:topLinePunct w:val="0"/>
              <w:autoSpaceDE w:val="0"/>
              <w:autoSpaceDN w:val="0"/>
              <w:bidi w:val="0"/>
              <w:adjustRightInd w:val="0"/>
              <w:snapToGrid w:val="0"/>
              <w:spacing w:line="560" w:lineRule="exact"/>
              <w:ind w:firstLine="0" w:firstLineChars="0"/>
              <w:jc w:val="center"/>
              <w:textAlignment w:val="baseline"/>
              <w:rPr>
                <w:rFonts w:ascii="仿宋_GB2312" w:hAnsi="仿宋_GB2312" w:eastAsia="仿宋_GB2312" w:cs="仿宋_GB2312"/>
                <w:spacing w:val="-4"/>
                <w:sz w:val="24"/>
                <w:szCs w:val="24"/>
                <w:lang w:eastAsia="zh-CN"/>
              </w:rPr>
            </w:pPr>
            <w:r>
              <w:rPr>
                <w:rFonts w:hint="eastAsia" w:ascii="仿宋_GB2312" w:hAnsi="仿宋_GB2312" w:eastAsia="仿宋_GB2312" w:cs="仿宋_GB2312"/>
                <w:spacing w:val="-4"/>
                <w:sz w:val="24"/>
                <w:szCs w:val="24"/>
                <w:lang w:eastAsia="zh-CN"/>
              </w:rPr>
              <w:t>%</w:t>
            </w:r>
          </w:p>
        </w:tc>
        <w:tc>
          <w:tcPr>
            <w:tcW w:w="1140" w:type="dxa"/>
            <w:vAlign w:val="center"/>
          </w:tcPr>
          <w:p w14:paraId="5C792F84">
            <w:pPr>
              <w:pStyle w:val="27"/>
              <w:keepNext w:val="0"/>
              <w:keepLines w:val="0"/>
              <w:pageBreakBefore w:val="0"/>
              <w:kinsoku w:val="0"/>
              <w:wordWrap/>
              <w:topLinePunct w:val="0"/>
              <w:autoSpaceDE w:val="0"/>
              <w:autoSpaceDN w:val="0"/>
              <w:bidi w:val="0"/>
              <w:adjustRightInd w:val="0"/>
              <w:snapToGrid w:val="0"/>
              <w:spacing w:line="560" w:lineRule="exact"/>
              <w:ind w:firstLine="0" w:firstLineChars="0"/>
              <w:jc w:val="center"/>
              <w:textAlignment w:val="baseline"/>
              <w:rPr>
                <w:rFonts w:ascii="仿宋_GB2312" w:hAnsi="仿宋_GB2312" w:eastAsia="仿宋_GB2312" w:cs="仿宋_GB2312"/>
                <w:spacing w:val="-4"/>
                <w:sz w:val="24"/>
                <w:szCs w:val="24"/>
                <w:lang w:eastAsia="zh-CN"/>
              </w:rPr>
            </w:pPr>
            <w:r>
              <w:rPr>
                <w:rFonts w:hint="eastAsia" w:ascii="仿宋_GB2312" w:hAnsi="仿宋_GB2312" w:eastAsia="仿宋_GB2312" w:cs="仿宋_GB2312"/>
                <w:spacing w:val="-4"/>
                <w:sz w:val="24"/>
                <w:szCs w:val="24"/>
                <w:lang w:eastAsia="zh-CN"/>
              </w:rPr>
              <w:t>5.3</w:t>
            </w:r>
          </w:p>
        </w:tc>
        <w:tc>
          <w:tcPr>
            <w:tcW w:w="1170" w:type="dxa"/>
            <w:vAlign w:val="center"/>
          </w:tcPr>
          <w:p w14:paraId="0A283EF1">
            <w:pPr>
              <w:pStyle w:val="27"/>
              <w:keepNext w:val="0"/>
              <w:keepLines w:val="0"/>
              <w:pageBreakBefore w:val="0"/>
              <w:kinsoku w:val="0"/>
              <w:wordWrap/>
              <w:topLinePunct w:val="0"/>
              <w:autoSpaceDE w:val="0"/>
              <w:autoSpaceDN w:val="0"/>
              <w:bidi w:val="0"/>
              <w:adjustRightInd w:val="0"/>
              <w:snapToGrid w:val="0"/>
              <w:spacing w:line="560" w:lineRule="exact"/>
              <w:ind w:firstLine="0" w:firstLineChars="0"/>
              <w:jc w:val="center"/>
              <w:textAlignment w:val="baseline"/>
              <w:rPr>
                <w:rFonts w:ascii="仿宋_GB2312" w:hAnsi="仿宋_GB2312" w:eastAsia="仿宋_GB2312" w:cs="仿宋_GB2312"/>
                <w:spacing w:val="-4"/>
                <w:sz w:val="24"/>
                <w:szCs w:val="24"/>
                <w:lang w:eastAsia="zh-CN"/>
              </w:rPr>
            </w:pPr>
            <w:r>
              <w:rPr>
                <w:rFonts w:hint="eastAsia" w:ascii="仿宋_GB2312" w:hAnsi="仿宋_GB2312" w:eastAsia="仿宋_GB2312" w:cs="仿宋_GB2312"/>
                <w:spacing w:val="-4"/>
                <w:sz w:val="24"/>
                <w:szCs w:val="24"/>
                <w:lang w:eastAsia="zh-CN"/>
              </w:rPr>
              <w:t>——</w:t>
            </w:r>
          </w:p>
        </w:tc>
        <w:tc>
          <w:tcPr>
            <w:tcW w:w="1410" w:type="dxa"/>
            <w:vAlign w:val="center"/>
          </w:tcPr>
          <w:p w14:paraId="49B88966">
            <w:pPr>
              <w:pStyle w:val="27"/>
              <w:keepNext w:val="0"/>
              <w:keepLines w:val="0"/>
              <w:pageBreakBefore w:val="0"/>
              <w:kinsoku w:val="0"/>
              <w:wordWrap/>
              <w:topLinePunct w:val="0"/>
              <w:autoSpaceDE w:val="0"/>
              <w:autoSpaceDN w:val="0"/>
              <w:bidi w:val="0"/>
              <w:adjustRightInd w:val="0"/>
              <w:snapToGrid w:val="0"/>
              <w:spacing w:line="560" w:lineRule="exact"/>
              <w:ind w:firstLine="0" w:firstLineChars="0"/>
              <w:jc w:val="center"/>
              <w:textAlignment w:val="baseline"/>
              <w:rPr>
                <w:rFonts w:ascii="仿宋_GB2312" w:hAnsi="仿宋_GB2312" w:eastAsia="仿宋_GB2312" w:cs="仿宋_GB2312"/>
                <w:spacing w:val="-4"/>
                <w:sz w:val="24"/>
                <w:szCs w:val="24"/>
                <w:lang w:eastAsia="zh-CN"/>
              </w:rPr>
            </w:pPr>
            <w:r>
              <w:rPr>
                <w:rFonts w:hint="eastAsia" w:ascii="仿宋_GB2312" w:hAnsi="仿宋_GB2312" w:eastAsia="仿宋_GB2312" w:cs="仿宋_GB2312"/>
                <w:spacing w:val="-4"/>
                <w:sz w:val="24"/>
                <w:szCs w:val="24"/>
                <w:lang w:eastAsia="zh-CN"/>
              </w:rPr>
              <w:t>高于GDP增长</w:t>
            </w:r>
          </w:p>
        </w:tc>
        <w:tc>
          <w:tcPr>
            <w:tcW w:w="965" w:type="dxa"/>
            <w:vAlign w:val="center"/>
          </w:tcPr>
          <w:p w14:paraId="3D0F543E">
            <w:pPr>
              <w:pStyle w:val="27"/>
              <w:keepNext w:val="0"/>
              <w:keepLines w:val="0"/>
              <w:pageBreakBefore w:val="0"/>
              <w:kinsoku w:val="0"/>
              <w:wordWrap/>
              <w:topLinePunct w:val="0"/>
              <w:autoSpaceDE w:val="0"/>
              <w:autoSpaceDN w:val="0"/>
              <w:bidi w:val="0"/>
              <w:adjustRightInd w:val="0"/>
              <w:snapToGrid w:val="0"/>
              <w:spacing w:line="560" w:lineRule="exact"/>
              <w:ind w:firstLine="0" w:firstLineChars="0"/>
              <w:jc w:val="center"/>
              <w:textAlignment w:val="baseline"/>
              <w:rPr>
                <w:rFonts w:ascii="仿宋_GB2312" w:hAnsi="仿宋_GB2312" w:eastAsia="仿宋_GB2312" w:cs="仿宋_GB2312"/>
                <w:spacing w:val="-4"/>
                <w:sz w:val="24"/>
                <w:szCs w:val="24"/>
                <w:lang w:eastAsia="zh-CN"/>
              </w:rPr>
            </w:pPr>
            <w:r>
              <w:rPr>
                <w:rFonts w:hint="eastAsia" w:ascii="仿宋_GB2312" w:hAnsi="仿宋_GB2312" w:eastAsia="仿宋_GB2312" w:cs="仿宋_GB2312"/>
                <w:spacing w:val="-4"/>
                <w:sz w:val="24"/>
                <w:szCs w:val="24"/>
                <w:lang w:eastAsia="zh-CN"/>
              </w:rPr>
              <w:t>预期性</w:t>
            </w:r>
          </w:p>
        </w:tc>
      </w:tr>
      <w:tr w14:paraId="528C6C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29" w:type="dxa"/>
            <w:vMerge w:val="continue"/>
            <w:vAlign w:val="center"/>
          </w:tcPr>
          <w:p w14:paraId="4C976EF4">
            <w:pPr>
              <w:keepNext w:val="0"/>
              <w:keepLines w:val="0"/>
              <w:pageBreakBefore w:val="0"/>
              <w:wordWrap/>
              <w:topLinePunct w:val="0"/>
              <w:bidi w:val="0"/>
              <w:spacing w:line="560" w:lineRule="exact"/>
              <w:ind w:firstLine="0" w:firstLineChars="0"/>
              <w:jc w:val="center"/>
              <w:rPr>
                <w:spacing w:val="-4"/>
                <w:sz w:val="24"/>
                <w:szCs w:val="24"/>
              </w:rPr>
            </w:pPr>
          </w:p>
        </w:tc>
        <w:tc>
          <w:tcPr>
            <w:tcW w:w="465" w:type="dxa"/>
            <w:vAlign w:val="center"/>
          </w:tcPr>
          <w:p w14:paraId="1AFF71FE">
            <w:pPr>
              <w:keepNext w:val="0"/>
              <w:keepLines w:val="0"/>
              <w:pageBreakBefore w:val="0"/>
              <w:wordWrap/>
              <w:topLinePunct w:val="0"/>
              <w:bidi w:val="0"/>
              <w:spacing w:line="560" w:lineRule="exact"/>
              <w:ind w:firstLine="0" w:firstLineChars="0"/>
              <w:jc w:val="center"/>
              <w:rPr>
                <w:spacing w:val="-4"/>
                <w:sz w:val="24"/>
                <w:szCs w:val="24"/>
              </w:rPr>
            </w:pPr>
            <w:r>
              <w:rPr>
                <w:rFonts w:hint="eastAsia"/>
                <w:sz w:val="24"/>
                <w:szCs w:val="24"/>
              </w:rPr>
              <w:t>6</w:t>
            </w:r>
          </w:p>
        </w:tc>
        <w:tc>
          <w:tcPr>
            <w:tcW w:w="2700" w:type="dxa"/>
            <w:vAlign w:val="center"/>
          </w:tcPr>
          <w:p w14:paraId="759E5998">
            <w:pPr>
              <w:pStyle w:val="27"/>
              <w:keepNext w:val="0"/>
              <w:keepLines w:val="0"/>
              <w:pageBreakBefore w:val="0"/>
              <w:kinsoku w:val="0"/>
              <w:wordWrap/>
              <w:topLinePunct w:val="0"/>
              <w:autoSpaceDE w:val="0"/>
              <w:autoSpaceDN w:val="0"/>
              <w:bidi w:val="0"/>
              <w:adjustRightInd w:val="0"/>
              <w:snapToGrid w:val="0"/>
              <w:spacing w:line="560" w:lineRule="exact"/>
              <w:ind w:firstLine="0" w:firstLineChars="0"/>
              <w:jc w:val="center"/>
              <w:textAlignment w:val="baseline"/>
              <w:rPr>
                <w:rFonts w:ascii="仿宋_GB2312" w:hAnsi="仿宋_GB2312" w:eastAsia="仿宋_GB2312" w:cs="仿宋_GB2312"/>
                <w:spacing w:val="-4"/>
                <w:sz w:val="24"/>
                <w:szCs w:val="24"/>
                <w:lang w:eastAsia="zh-CN"/>
              </w:rPr>
            </w:pPr>
            <w:r>
              <w:rPr>
                <w:rFonts w:hint="eastAsia" w:ascii="仿宋_GB2312" w:hAnsi="仿宋_GB2312" w:eastAsia="仿宋_GB2312" w:cs="仿宋_GB2312"/>
                <w:spacing w:val="-4"/>
                <w:sz w:val="24"/>
                <w:szCs w:val="24"/>
                <w:lang w:eastAsia="zh-CN"/>
              </w:rPr>
              <w:t>新增城镇就业人数</w:t>
            </w:r>
          </w:p>
        </w:tc>
        <w:tc>
          <w:tcPr>
            <w:tcW w:w="885" w:type="dxa"/>
            <w:vAlign w:val="center"/>
          </w:tcPr>
          <w:p w14:paraId="78A76A57">
            <w:pPr>
              <w:pStyle w:val="27"/>
              <w:keepNext w:val="0"/>
              <w:keepLines w:val="0"/>
              <w:pageBreakBefore w:val="0"/>
              <w:kinsoku w:val="0"/>
              <w:wordWrap/>
              <w:topLinePunct w:val="0"/>
              <w:autoSpaceDE w:val="0"/>
              <w:autoSpaceDN w:val="0"/>
              <w:bidi w:val="0"/>
              <w:adjustRightInd w:val="0"/>
              <w:snapToGrid w:val="0"/>
              <w:spacing w:line="560" w:lineRule="exact"/>
              <w:ind w:firstLine="0" w:firstLineChars="0"/>
              <w:jc w:val="center"/>
              <w:textAlignment w:val="baseline"/>
              <w:rPr>
                <w:rFonts w:ascii="仿宋_GB2312" w:hAnsi="仿宋_GB2312" w:eastAsia="仿宋_GB2312" w:cs="仿宋_GB2312"/>
                <w:spacing w:val="-4"/>
                <w:sz w:val="24"/>
                <w:szCs w:val="24"/>
                <w:lang w:eastAsia="zh-CN"/>
              </w:rPr>
            </w:pPr>
            <w:r>
              <w:rPr>
                <w:rFonts w:hint="eastAsia" w:ascii="仿宋_GB2312" w:hAnsi="仿宋_GB2312" w:eastAsia="仿宋_GB2312" w:cs="仿宋_GB2312"/>
                <w:spacing w:val="-4"/>
                <w:sz w:val="24"/>
                <w:szCs w:val="24"/>
                <w:lang w:eastAsia="zh-CN"/>
              </w:rPr>
              <w:t>人</w:t>
            </w:r>
          </w:p>
        </w:tc>
        <w:tc>
          <w:tcPr>
            <w:tcW w:w="1140" w:type="dxa"/>
            <w:vAlign w:val="center"/>
          </w:tcPr>
          <w:p w14:paraId="306287D3">
            <w:pPr>
              <w:pStyle w:val="27"/>
              <w:keepNext w:val="0"/>
              <w:keepLines w:val="0"/>
              <w:pageBreakBefore w:val="0"/>
              <w:kinsoku w:val="0"/>
              <w:wordWrap/>
              <w:topLinePunct w:val="0"/>
              <w:autoSpaceDE w:val="0"/>
              <w:autoSpaceDN w:val="0"/>
              <w:bidi w:val="0"/>
              <w:adjustRightInd w:val="0"/>
              <w:snapToGrid w:val="0"/>
              <w:spacing w:line="560" w:lineRule="exact"/>
              <w:ind w:firstLine="0" w:firstLineChars="0"/>
              <w:jc w:val="center"/>
              <w:textAlignment w:val="baseline"/>
              <w:rPr>
                <w:rFonts w:ascii="仿宋_GB2312" w:hAnsi="仿宋_GB2312" w:eastAsia="仿宋_GB2312" w:cs="仿宋_GB2312"/>
                <w:spacing w:val="-4"/>
                <w:sz w:val="24"/>
                <w:szCs w:val="24"/>
                <w:lang w:eastAsia="zh-CN"/>
              </w:rPr>
            </w:pPr>
            <w:r>
              <w:rPr>
                <w:rFonts w:hint="eastAsia" w:ascii="仿宋_GB2312" w:hAnsi="仿宋_GB2312" w:eastAsia="仿宋_GB2312" w:cs="仿宋_GB2312"/>
                <w:spacing w:val="-4"/>
                <w:sz w:val="24"/>
                <w:szCs w:val="24"/>
                <w:lang w:eastAsia="zh-CN"/>
              </w:rPr>
              <w:t>[19401]</w:t>
            </w:r>
          </w:p>
        </w:tc>
        <w:tc>
          <w:tcPr>
            <w:tcW w:w="1170" w:type="dxa"/>
            <w:vAlign w:val="center"/>
          </w:tcPr>
          <w:p w14:paraId="62913DF9">
            <w:pPr>
              <w:pStyle w:val="27"/>
              <w:keepNext w:val="0"/>
              <w:keepLines w:val="0"/>
              <w:pageBreakBefore w:val="0"/>
              <w:kinsoku w:val="0"/>
              <w:wordWrap/>
              <w:topLinePunct w:val="0"/>
              <w:autoSpaceDE w:val="0"/>
              <w:autoSpaceDN w:val="0"/>
              <w:bidi w:val="0"/>
              <w:adjustRightInd w:val="0"/>
              <w:snapToGrid w:val="0"/>
              <w:spacing w:line="560" w:lineRule="exact"/>
              <w:ind w:firstLine="0" w:firstLineChars="0"/>
              <w:jc w:val="center"/>
              <w:textAlignment w:val="baseline"/>
              <w:rPr>
                <w:rFonts w:ascii="仿宋_GB2312" w:hAnsi="仿宋_GB2312" w:eastAsia="仿宋_GB2312" w:cs="仿宋_GB2312"/>
                <w:spacing w:val="-4"/>
                <w:sz w:val="24"/>
                <w:szCs w:val="24"/>
                <w:lang w:eastAsia="zh-CN"/>
              </w:rPr>
            </w:pPr>
            <w:r>
              <w:rPr>
                <w:rFonts w:hint="eastAsia" w:ascii="仿宋_GB2312" w:hAnsi="仿宋_GB2312" w:eastAsia="仿宋_GB2312" w:cs="仿宋_GB2312"/>
                <w:spacing w:val="-4"/>
                <w:sz w:val="24"/>
                <w:szCs w:val="24"/>
                <w:lang w:eastAsia="zh-CN"/>
              </w:rPr>
              <w:t>[15000]</w:t>
            </w:r>
          </w:p>
        </w:tc>
        <w:tc>
          <w:tcPr>
            <w:tcW w:w="1410" w:type="dxa"/>
            <w:vAlign w:val="center"/>
          </w:tcPr>
          <w:p w14:paraId="22D31353">
            <w:pPr>
              <w:pStyle w:val="27"/>
              <w:keepNext w:val="0"/>
              <w:keepLines w:val="0"/>
              <w:pageBreakBefore w:val="0"/>
              <w:kinsoku w:val="0"/>
              <w:wordWrap/>
              <w:topLinePunct w:val="0"/>
              <w:autoSpaceDE w:val="0"/>
              <w:autoSpaceDN w:val="0"/>
              <w:bidi w:val="0"/>
              <w:adjustRightInd w:val="0"/>
              <w:snapToGrid w:val="0"/>
              <w:spacing w:line="560" w:lineRule="exact"/>
              <w:ind w:firstLine="0" w:firstLineChars="0"/>
              <w:jc w:val="center"/>
              <w:textAlignment w:val="baseline"/>
              <w:rPr>
                <w:rFonts w:ascii="仿宋_GB2312" w:hAnsi="仿宋_GB2312" w:eastAsia="仿宋_GB2312" w:cs="仿宋_GB2312"/>
                <w:spacing w:val="-4"/>
                <w:sz w:val="24"/>
                <w:szCs w:val="24"/>
                <w:lang w:eastAsia="zh-CN"/>
              </w:rPr>
            </w:pPr>
            <w:r>
              <w:rPr>
                <w:rFonts w:hint="eastAsia" w:ascii="仿宋_GB2312" w:hAnsi="仿宋_GB2312" w:eastAsia="仿宋_GB2312" w:cs="仿宋_GB2312"/>
                <w:spacing w:val="-4"/>
                <w:sz w:val="24"/>
                <w:szCs w:val="24"/>
                <w:lang w:eastAsia="zh-CN"/>
              </w:rPr>
              <w:t>——</w:t>
            </w:r>
          </w:p>
        </w:tc>
        <w:tc>
          <w:tcPr>
            <w:tcW w:w="965" w:type="dxa"/>
            <w:vAlign w:val="center"/>
          </w:tcPr>
          <w:p w14:paraId="0F0D5099">
            <w:pPr>
              <w:pStyle w:val="27"/>
              <w:keepNext w:val="0"/>
              <w:keepLines w:val="0"/>
              <w:pageBreakBefore w:val="0"/>
              <w:kinsoku w:val="0"/>
              <w:wordWrap/>
              <w:topLinePunct w:val="0"/>
              <w:autoSpaceDE w:val="0"/>
              <w:autoSpaceDN w:val="0"/>
              <w:bidi w:val="0"/>
              <w:adjustRightInd w:val="0"/>
              <w:snapToGrid w:val="0"/>
              <w:spacing w:line="560" w:lineRule="exact"/>
              <w:ind w:firstLine="0" w:firstLineChars="0"/>
              <w:jc w:val="center"/>
              <w:textAlignment w:val="baseline"/>
              <w:rPr>
                <w:rFonts w:ascii="仿宋_GB2312" w:hAnsi="仿宋_GB2312" w:eastAsia="仿宋_GB2312" w:cs="仿宋_GB2312"/>
                <w:spacing w:val="-4"/>
                <w:sz w:val="24"/>
                <w:szCs w:val="24"/>
                <w:lang w:eastAsia="zh-CN"/>
              </w:rPr>
            </w:pPr>
            <w:r>
              <w:rPr>
                <w:rFonts w:hint="eastAsia" w:ascii="仿宋_GB2312" w:hAnsi="仿宋_GB2312" w:eastAsia="仿宋_GB2312" w:cs="仿宋_GB2312"/>
                <w:spacing w:val="-4"/>
                <w:sz w:val="24"/>
                <w:szCs w:val="24"/>
                <w:lang w:eastAsia="zh-CN"/>
              </w:rPr>
              <w:t>预期性</w:t>
            </w:r>
          </w:p>
        </w:tc>
      </w:tr>
      <w:tr w14:paraId="696A3B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29" w:type="dxa"/>
            <w:vMerge w:val="continue"/>
            <w:vAlign w:val="center"/>
          </w:tcPr>
          <w:p w14:paraId="56DE52B7">
            <w:pPr>
              <w:keepNext w:val="0"/>
              <w:keepLines w:val="0"/>
              <w:pageBreakBefore w:val="0"/>
              <w:wordWrap/>
              <w:topLinePunct w:val="0"/>
              <w:bidi w:val="0"/>
              <w:spacing w:line="560" w:lineRule="exact"/>
              <w:ind w:firstLine="0" w:firstLineChars="0"/>
              <w:jc w:val="center"/>
              <w:rPr>
                <w:spacing w:val="-4"/>
                <w:sz w:val="24"/>
                <w:szCs w:val="24"/>
              </w:rPr>
            </w:pPr>
          </w:p>
        </w:tc>
        <w:tc>
          <w:tcPr>
            <w:tcW w:w="465" w:type="dxa"/>
            <w:vAlign w:val="center"/>
          </w:tcPr>
          <w:p w14:paraId="4E8E1FAC">
            <w:pPr>
              <w:keepNext w:val="0"/>
              <w:keepLines w:val="0"/>
              <w:pageBreakBefore w:val="0"/>
              <w:wordWrap/>
              <w:topLinePunct w:val="0"/>
              <w:bidi w:val="0"/>
              <w:spacing w:line="560" w:lineRule="exact"/>
              <w:ind w:firstLine="0" w:firstLineChars="0"/>
              <w:jc w:val="center"/>
              <w:rPr>
                <w:spacing w:val="-4"/>
                <w:sz w:val="24"/>
                <w:szCs w:val="24"/>
              </w:rPr>
            </w:pPr>
            <w:r>
              <w:rPr>
                <w:rFonts w:hint="eastAsia"/>
                <w:sz w:val="24"/>
                <w:szCs w:val="24"/>
              </w:rPr>
              <w:t>7</w:t>
            </w:r>
          </w:p>
        </w:tc>
        <w:tc>
          <w:tcPr>
            <w:tcW w:w="2700" w:type="dxa"/>
            <w:vAlign w:val="center"/>
          </w:tcPr>
          <w:p w14:paraId="07B56257">
            <w:pPr>
              <w:pStyle w:val="27"/>
              <w:keepNext w:val="0"/>
              <w:keepLines w:val="0"/>
              <w:pageBreakBefore w:val="0"/>
              <w:kinsoku w:val="0"/>
              <w:wordWrap/>
              <w:topLinePunct w:val="0"/>
              <w:autoSpaceDE w:val="0"/>
              <w:autoSpaceDN w:val="0"/>
              <w:bidi w:val="0"/>
              <w:adjustRightInd w:val="0"/>
              <w:snapToGrid w:val="0"/>
              <w:spacing w:line="560" w:lineRule="exact"/>
              <w:ind w:firstLine="0" w:firstLineChars="0"/>
              <w:jc w:val="center"/>
              <w:textAlignment w:val="baseline"/>
              <w:rPr>
                <w:rFonts w:ascii="仿宋_GB2312" w:hAnsi="仿宋_GB2312" w:eastAsia="仿宋_GB2312" w:cs="仿宋_GB2312"/>
                <w:spacing w:val="-4"/>
                <w:sz w:val="24"/>
                <w:szCs w:val="24"/>
                <w:lang w:eastAsia="zh-CN"/>
              </w:rPr>
            </w:pPr>
            <w:r>
              <w:rPr>
                <w:rFonts w:hint="eastAsia" w:ascii="仿宋_GB2312" w:hAnsi="仿宋_GB2312" w:eastAsia="仿宋_GB2312" w:cs="仿宋_GB2312"/>
                <w:spacing w:val="-4"/>
                <w:sz w:val="24"/>
                <w:szCs w:val="24"/>
                <w:lang w:eastAsia="zh-CN"/>
              </w:rPr>
              <w:t>养老机构护理型床位占比</w:t>
            </w:r>
          </w:p>
        </w:tc>
        <w:tc>
          <w:tcPr>
            <w:tcW w:w="885" w:type="dxa"/>
            <w:vAlign w:val="center"/>
          </w:tcPr>
          <w:p w14:paraId="376E0951">
            <w:pPr>
              <w:pStyle w:val="27"/>
              <w:keepNext w:val="0"/>
              <w:keepLines w:val="0"/>
              <w:pageBreakBefore w:val="0"/>
              <w:kinsoku w:val="0"/>
              <w:wordWrap/>
              <w:topLinePunct w:val="0"/>
              <w:autoSpaceDE w:val="0"/>
              <w:autoSpaceDN w:val="0"/>
              <w:bidi w:val="0"/>
              <w:adjustRightInd w:val="0"/>
              <w:snapToGrid w:val="0"/>
              <w:spacing w:line="560" w:lineRule="exact"/>
              <w:ind w:firstLine="0" w:firstLineChars="0"/>
              <w:jc w:val="center"/>
              <w:textAlignment w:val="baseline"/>
              <w:rPr>
                <w:rFonts w:ascii="仿宋_GB2312" w:hAnsi="仿宋_GB2312" w:eastAsia="仿宋_GB2312" w:cs="仿宋_GB2312"/>
                <w:spacing w:val="-4"/>
                <w:sz w:val="24"/>
                <w:szCs w:val="24"/>
                <w:lang w:eastAsia="zh-CN"/>
              </w:rPr>
            </w:pPr>
            <w:r>
              <w:rPr>
                <w:rFonts w:hint="eastAsia" w:ascii="仿宋_GB2312" w:hAnsi="仿宋_GB2312" w:eastAsia="仿宋_GB2312" w:cs="仿宋_GB2312"/>
                <w:spacing w:val="-4"/>
                <w:sz w:val="24"/>
                <w:szCs w:val="24"/>
                <w:lang w:eastAsia="zh-CN"/>
              </w:rPr>
              <w:t>%</w:t>
            </w:r>
          </w:p>
        </w:tc>
        <w:tc>
          <w:tcPr>
            <w:tcW w:w="1140" w:type="dxa"/>
            <w:vAlign w:val="center"/>
          </w:tcPr>
          <w:p w14:paraId="410C0B7E">
            <w:pPr>
              <w:pStyle w:val="27"/>
              <w:keepNext w:val="0"/>
              <w:keepLines w:val="0"/>
              <w:pageBreakBefore w:val="0"/>
              <w:kinsoku w:val="0"/>
              <w:wordWrap/>
              <w:topLinePunct w:val="0"/>
              <w:autoSpaceDE w:val="0"/>
              <w:autoSpaceDN w:val="0"/>
              <w:bidi w:val="0"/>
              <w:adjustRightInd w:val="0"/>
              <w:snapToGrid w:val="0"/>
              <w:spacing w:line="560" w:lineRule="exact"/>
              <w:ind w:firstLine="0" w:firstLineChars="0"/>
              <w:jc w:val="center"/>
              <w:textAlignment w:val="baseline"/>
              <w:rPr>
                <w:rFonts w:ascii="仿宋_GB2312" w:hAnsi="仿宋_GB2312" w:eastAsia="仿宋_GB2312" w:cs="仿宋_GB2312"/>
                <w:spacing w:val="-4"/>
                <w:sz w:val="24"/>
                <w:szCs w:val="24"/>
                <w:lang w:eastAsia="zh-CN"/>
              </w:rPr>
            </w:pPr>
            <w:r>
              <w:rPr>
                <w:rFonts w:hint="eastAsia" w:ascii="仿宋_GB2312" w:hAnsi="仿宋_GB2312" w:eastAsia="仿宋_GB2312" w:cs="仿宋_GB2312"/>
                <w:spacing w:val="-4"/>
                <w:sz w:val="24"/>
                <w:szCs w:val="24"/>
                <w:lang w:eastAsia="zh-CN"/>
              </w:rPr>
              <w:t>92.58</w:t>
            </w:r>
          </w:p>
        </w:tc>
        <w:tc>
          <w:tcPr>
            <w:tcW w:w="1170" w:type="dxa"/>
            <w:vAlign w:val="center"/>
          </w:tcPr>
          <w:p w14:paraId="2242E034">
            <w:pPr>
              <w:pStyle w:val="27"/>
              <w:keepNext w:val="0"/>
              <w:keepLines w:val="0"/>
              <w:pageBreakBefore w:val="0"/>
              <w:kinsoku w:val="0"/>
              <w:wordWrap/>
              <w:topLinePunct w:val="0"/>
              <w:autoSpaceDE w:val="0"/>
              <w:autoSpaceDN w:val="0"/>
              <w:bidi w:val="0"/>
              <w:adjustRightInd w:val="0"/>
              <w:snapToGrid w:val="0"/>
              <w:spacing w:line="560" w:lineRule="exact"/>
              <w:ind w:firstLine="0" w:firstLineChars="0"/>
              <w:jc w:val="center"/>
              <w:textAlignment w:val="baseline"/>
              <w:rPr>
                <w:rFonts w:ascii="仿宋_GB2312" w:hAnsi="仿宋_GB2312" w:eastAsia="仿宋_GB2312" w:cs="仿宋_GB2312"/>
                <w:spacing w:val="-4"/>
                <w:sz w:val="24"/>
                <w:szCs w:val="24"/>
                <w:lang w:eastAsia="zh-CN"/>
              </w:rPr>
            </w:pPr>
            <w:r>
              <w:rPr>
                <w:rFonts w:hint="eastAsia" w:ascii="仿宋_GB2312" w:hAnsi="仿宋_GB2312" w:eastAsia="仿宋_GB2312" w:cs="仿宋_GB2312"/>
                <w:spacing w:val="-4"/>
                <w:sz w:val="24"/>
                <w:szCs w:val="24"/>
                <w:lang w:eastAsia="zh-CN"/>
              </w:rPr>
              <w:t>95</w:t>
            </w:r>
          </w:p>
        </w:tc>
        <w:tc>
          <w:tcPr>
            <w:tcW w:w="1410" w:type="dxa"/>
            <w:vAlign w:val="center"/>
          </w:tcPr>
          <w:p w14:paraId="2F1799F0">
            <w:pPr>
              <w:pStyle w:val="27"/>
              <w:keepNext w:val="0"/>
              <w:keepLines w:val="0"/>
              <w:pageBreakBefore w:val="0"/>
              <w:kinsoku w:val="0"/>
              <w:wordWrap/>
              <w:topLinePunct w:val="0"/>
              <w:autoSpaceDE w:val="0"/>
              <w:autoSpaceDN w:val="0"/>
              <w:bidi w:val="0"/>
              <w:adjustRightInd w:val="0"/>
              <w:snapToGrid w:val="0"/>
              <w:spacing w:line="560" w:lineRule="exact"/>
              <w:ind w:firstLine="0" w:firstLineChars="0"/>
              <w:jc w:val="center"/>
              <w:textAlignment w:val="baseline"/>
              <w:rPr>
                <w:rFonts w:ascii="仿宋_GB2312" w:hAnsi="仿宋_GB2312" w:eastAsia="仿宋_GB2312" w:cs="仿宋_GB2312"/>
                <w:spacing w:val="-4"/>
                <w:sz w:val="24"/>
                <w:szCs w:val="24"/>
                <w:lang w:eastAsia="zh-CN"/>
              </w:rPr>
            </w:pPr>
            <w:r>
              <w:rPr>
                <w:rFonts w:hint="eastAsia" w:ascii="仿宋_GB2312" w:hAnsi="仿宋_GB2312" w:eastAsia="仿宋_GB2312" w:cs="仿宋_GB2312"/>
                <w:spacing w:val="-4"/>
                <w:sz w:val="24"/>
                <w:szCs w:val="24"/>
                <w:lang w:eastAsia="zh-CN"/>
              </w:rPr>
              <w:t>——</w:t>
            </w:r>
          </w:p>
        </w:tc>
        <w:tc>
          <w:tcPr>
            <w:tcW w:w="965" w:type="dxa"/>
            <w:vAlign w:val="center"/>
          </w:tcPr>
          <w:p w14:paraId="30C63B6C">
            <w:pPr>
              <w:pStyle w:val="27"/>
              <w:keepNext w:val="0"/>
              <w:keepLines w:val="0"/>
              <w:pageBreakBefore w:val="0"/>
              <w:kinsoku w:val="0"/>
              <w:wordWrap/>
              <w:topLinePunct w:val="0"/>
              <w:autoSpaceDE w:val="0"/>
              <w:autoSpaceDN w:val="0"/>
              <w:bidi w:val="0"/>
              <w:adjustRightInd w:val="0"/>
              <w:snapToGrid w:val="0"/>
              <w:spacing w:line="560" w:lineRule="exact"/>
              <w:ind w:firstLine="0" w:firstLineChars="0"/>
              <w:jc w:val="center"/>
              <w:textAlignment w:val="baseline"/>
              <w:rPr>
                <w:rFonts w:ascii="仿宋_GB2312" w:hAnsi="仿宋_GB2312" w:eastAsia="仿宋_GB2312" w:cs="仿宋_GB2312"/>
                <w:spacing w:val="-4"/>
                <w:sz w:val="24"/>
                <w:szCs w:val="24"/>
                <w:lang w:eastAsia="zh-CN"/>
              </w:rPr>
            </w:pPr>
            <w:r>
              <w:rPr>
                <w:rFonts w:hint="eastAsia" w:ascii="仿宋_GB2312" w:hAnsi="仿宋_GB2312" w:eastAsia="仿宋_GB2312" w:cs="仿宋_GB2312"/>
                <w:spacing w:val="-4"/>
                <w:sz w:val="24"/>
                <w:szCs w:val="24"/>
                <w:lang w:eastAsia="zh-CN"/>
              </w:rPr>
              <w:t>预期性</w:t>
            </w:r>
          </w:p>
        </w:tc>
      </w:tr>
      <w:tr w14:paraId="186B9C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29" w:type="dxa"/>
            <w:vMerge w:val="continue"/>
            <w:vAlign w:val="center"/>
          </w:tcPr>
          <w:p w14:paraId="2C777815">
            <w:pPr>
              <w:keepNext w:val="0"/>
              <w:keepLines w:val="0"/>
              <w:pageBreakBefore w:val="0"/>
              <w:wordWrap/>
              <w:topLinePunct w:val="0"/>
              <w:bidi w:val="0"/>
              <w:spacing w:line="560" w:lineRule="exact"/>
              <w:ind w:firstLine="0" w:firstLineChars="0"/>
              <w:jc w:val="center"/>
              <w:rPr>
                <w:spacing w:val="-4"/>
                <w:sz w:val="24"/>
                <w:szCs w:val="24"/>
              </w:rPr>
            </w:pPr>
          </w:p>
        </w:tc>
        <w:tc>
          <w:tcPr>
            <w:tcW w:w="465" w:type="dxa"/>
            <w:vAlign w:val="center"/>
          </w:tcPr>
          <w:p w14:paraId="2D9426A4">
            <w:pPr>
              <w:keepNext w:val="0"/>
              <w:keepLines w:val="0"/>
              <w:pageBreakBefore w:val="0"/>
              <w:wordWrap/>
              <w:topLinePunct w:val="0"/>
              <w:bidi w:val="0"/>
              <w:spacing w:line="560" w:lineRule="exact"/>
              <w:ind w:firstLine="0" w:firstLineChars="0"/>
              <w:jc w:val="center"/>
              <w:rPr>
                <w:spacing w:val="-4"/>
                <w:sz w:val="24"/>
                <w:szCs w:val="24"/>
              </w:rPr>
            </w:pPr>
            <w:r>
              <w:rPr>
                <w:rFonts w:hint="eastAsia"/>
                <w:sz w:val="24"/>
                <w:szCs w:val="24"/>
              </w:rPr>
              <w:t>8</w:t>
            </w:r>
          </w:p>
        </w:tc>
        <w:tc>
          <w:tcPr>
            <w:tcW w:w="2700" w:type="dxa"/>
            <w:vAlign w:val="center"/>
          </w:tcPr>
          <w:p w14:paraId="6FEE7DBA">
            <w:pPr>
              <w:pStyle w:val="27"/>
              <w:keepNext w:val="0"/>
              <w:keepLines w:val="0"/>
              <w:pageBreakBefore w:val="0"/>
              <w:kinsoku w:val="0"/>
              <w:wordWrap/>
              <w:topLinePunct w:val="0"/>
              <w:autoSpaceDE w:val="0"/>
              <w:autoSpaceDN w:val="0"/>
              <w:bidi w:val="0"/>
              <w:adjustRightInd w:val="0"/>
              <w:snapToGrid w:val="0"/>
              <w:spacing w:line="560" w:lineRule="exact"/>
              <w:ind w:firstLine="0" w:firstLineChars="0"/>
              <w:jc w:val="center"/>
              <w:textAlignment w:val="baseline"/>
              <w:rPr>
                <w:rFonts w:ascii="仿宋_GB2312" w:hAnsi="仿宋_GB2312" w:eastAsia="仿宋_GB2312" w:cs="仿宋_GB2312"/>
                <w:spacing w:val="-4"/>
                <w:sz w:val="24"/>
                <w:szCs w:val="24"/>
                <w:lang w:eastAsia="zh-CN"/>
              </w:rPr>
            </w:pPr>
            <w:r>
              <w:rPr>
                <w:rFonts w:hint="eastAsia" w:ascii="仿宋_GB2312" w:hAnsi="仿宋_GB2312" w:eastAsia="仿宋_GB2312" w:cs="仿宋_GB2312"/>
                <w:spacing w:val="-4"/>
                <w:sz w:val="24"/>
                <w:szCs w:val="24"/>
                <w:lang w:eastAsia="zh-CN"/>
              </w:rPr>
              <w:t>人均预期寿命</w:t>
            </w:r>
          </w:p>
        </w:tc>
        <w:tc>
          <w:tcPr>
            <w:tcW w:w="885" w:type="dxa"/>
            <w:vAlign w:val="center"/>
          </w:tcPr>
          <w:p w14:paraId="7E35E12E">
            <w:pPr>
              <w:pStyle w:val="27"/>
              <w:keepNext w:val="0"/>
              <w:keepLines w:val="0"/>
              <w:pageBreakBefore w:val="0"/>
              <w:kinsoku w:val="0"/>
              <w:wordWrap/>
              <w:topLinePunct w:val="0"/>
              <w:autoSpaceDE w:val="0"/>
              <w:autoSpaceDN w:val="0"/>
              <w:bidi w:val="0"/>
              <w:adjustRightInd w:val="0"/>
              <w:snapToGrid w:val="0"/>
              <w:spacing w:line="560" w:lineRule="exact"/>
              <w:ind w:firstLine="0" w:firstLineChars="0"/>
              <w:jc w:val="center"/>
              <w:textAlignment w:val="baseline"/>
              <w:rPr>
                <w:rFonts w:ascii="仿宋_GB2312" w:hAnsi="仿宋_GB2312" w:eastAsia="仿宋_GB2312" w:cs="仿宋_GB2312"/>
                <w:spacing w:val="-4"/>
                <w:sz w:val="24"/>
                <w:szCs w:val="24"/>
                <w:lang w:eastAsia="zh-CN"/>
              </w:rPr>
            </w:pPr>
            <w:r>
              <w:rPr>
                <w:rFonts w:hint="eastAsia" w:ascii="仿宋_GB2312" w:hAnsi="仿宋_GB2312" w:eastAsia="仿宋_GB2312" w:cs="仿宋_GB2312"/>
                <w:spacing w:val="-4"/>
                <w:sz w:val="24"/>
                <w:szCs w:val="24"/>
                <w:lang w:eastAsia="zh-CN"/>
              </w:rPr>
              <w:t>岁</w:t>
            </w:r>
          </w:p>
        </w:tc>
        <w:tc>
          <w:tcPr>
            <w:tcW w:w="1140" w:type="dxa"/>
            <w:vAlign w:val="center"/>
          </w:tcPr>
          <w:p w14:paraId="3ED65BD5">
            <w:pPr>
              <w:pStyle w:val="27"/>
              <w:keepNext w:val="0"/>
              <w:keepLines w:val="0"/>
              <w:pageBreakBefore w:val="0"/>
              <w:kinsoku w:val="0"/>
              <w:wordWrap/>
              <w:topLinePunct w:val="0"/>
              <w:autoSpaceDE w:val="0"/>
              <w:autoSpaceDN w:val="0"/>
              <w:bidi w:val="0"/>
              <w:adjustRightInd w:val="0"/>
              <w:snapToGrid w:val="0"/>
              <w:spacing w:line="560" w:lineRule="exact"/>
              <w:ind w:firstLine="0" w:firstLineChars="0"/>
              <w:jc w:val="center"/>
              <w:textAlignment w:val="baseline"/>
              <w:rPr>
                <w:rFonts w:ascii="仿宋_GB2312" w:hAnsi="仿宋_GB2312" w:eastAsia="仿宋_GB2312" w:cs="仿宋_GB2312"/>
                <w:spacing w:val="-4"/>
                <w:sz w:val="24"/>
                <w:szCs w:val="24"/>
                <w:lang w:eastAsia="zh-CN"/>
              </w:rPr>
            </w:pPr>
            <w:r>
              <w:rPr>
                <w:rFonts w:hint="eastAsia" w:ascii="仿宋_GB2312" w:hAnsi="仿宋_GB2312" w:eastAsia="仿宋_GB2312" w:cs="仿宋_GB2312"/>
                <w:spacing w:val="-4"/>
                <w:sz w:val="24"/>
                <w:szCs w:val="24"/>
                <w:lang w:eastAsia="zh-CN"/>
              </w:rPr>
              <w:t>80</w:t>
            </w:r>
          </w:p>
        </w:tc>
        <w:tc>
          <w:tcPr>
            <w:tcW w:w="1170" w:type="dxa"/>
            <w:vAlign w:val="center"/>
          </w:tcPr>
          <w:p w14:paraId="2E888E0E">
            <w:pPr>
              <w:pStyle w:val="27"/>
              <w:keepNext w:val="0"/>
              <w:keepLines w:val="0"/>
              <w:pageBreakBefore w:val="0"/>
              <w:kinsoku w:val="0"/>
              <w:wordWrap/>
              <w:topLinePunct w:val="0"/>
              <w:autoSpaceDE w:val="0"/>
              <w:autoSpaceDN w:val="0"/>
              <w:bidi w:val="0"/>
              <w:adjustRightInd w:val="0"/>
              <w:snapToGrid w:val="0"/>
              <w:spacing w:line="560" w:lineRule="exact"/>
              <w:ind w:firstLine="0" w:firstLineChars="0"/>
              <w:jc w:val="center"/>
              <w:textAlignment w:val="baseline"/>
              <w:rPr>
                <w:rFonts w:ascii="仿宋_GB2312" w:hAnsi="仿宋_GB2312" w:eastAsia="仿宋_GB2312" w:cs="仿宋_GB2312"/>
                <w:spacing w:val="-4"/>
                <w:sz w:val="24"/>
                <w:szCs w:val="24"/>
                <w:lang w:eastAsia="zh-CN"/>
              </w:rPr>
            </w:pPr>
            <w:r>
              <w:rPr>
                <w:rFonts w:hint="eastAsia" w:ascii="仿宋_GB2312" w:hAnsi="仿宋_GB2312" w:eastAsia="仿宋_GB2312" w:cs="仿宋_GB2312"/>
                <w:spacing w:val="-4"/>
                <w:sz w:val="24"/>
                <w:szCs w:val="24"/>
                <w:lang w:eastAsia="zh-CN"/>
              </w:rPr>
              <w:t>82.5</w:t>
            </w:r>
          </w:p>
        </w:tc>
        <w:tc>
          <w:tcPr>
            <w:tcW w:w="1410" w:type="dxa"/>
            <w:vAlign w:val="center"/>
          </w:tcPr>
          <w:p w14:paraId="0E79AA82">
            <w:pPr>
              <w:pStyle w:val="27"/>
              <w:keepNext w:val="0"/>
              <w:keepLines w:val="0"/>
              <w:pageBreakBefore w:val="0"/>
              <w:kinsoku w:val="0"/>
              <w:wordWrap/>
              <w:topLinePunct w:val="0"/>
              <w:autoSpaceDE w:val="0"/>
              <w:autoSpaceDN w:val="0"/>
              <w:bidi w:val="0"/>
              <w:adjustRightInd w:val="0"/>
              <w:snapToGrid w:val="0"/>
              <w:spacing w:line="560" w:lineRule="exact"/>
              <w:ind w:firstLine="0" w:firstLineChars="0"/>
              <w:jc w:val="center"/>
              <w:textAlignment w:val="baseline"/>
              <w:rPr>
                <w:rFonts w:ascii="仿宋_GB2312" w:hAnsi="仿宋_GB2312" w:eastAsia="仿宋_GB2312" w:cs="仿宋_GB2312"/>
                <w:spacing w:val="-4"/>
                <w:sz w:val="24"/>
                <w:szCs w:val="24"/>
                <w:lang w:eastAsia="zh-CN"/>
              </w:rPr>
            </w:pPr>
            <w:r>
              <w:rPr>
                <w:rFonts w:hint="eastAsia" w:ascii="仿宋_GB2312" w:hAnsi="仿宋_GB2312" w:eastAsia="仿宋_GB2312" w:cs="仿宋_GB2312"/>
                <w:spacing w:val="-4"/>
                <w:sz w:val="24"/>
                <w:szCs w:val="24"/>
                <w:lang w:eastAsia="zh-CN"/>
              </w:rPr>
              <w:t>——</w:t>
            </w:r>
          </w:p>
        </w:tc>
        <w:tc>
          <w:tcPr>
            <w:tcW w:w="965" w:type="dxa"/>
            <w:vAlign w:val="center"/>
          </w:tcPr>
          <w:p w14:paraId="30FB3F12">
            <w:pPr>
              <w:pStyle w:val="27"/>
              <w:keepNext w:val="0"/>
              <w:keepLines w:val="0"/>
              <w:pageBreakBefore w:val="0"/>
              <w:kinsoku w:val="0"/>
              <w:wordWrap/>
              <w:topLinePunct w:val="0"/>
              <w:autoSpaceDE w:val="0"/>
              <w:autoSpaceDN w:val="0"/>
              <w:bidi w:val="0"/>
              <w:adjustRightInd w:val="0"/>
              <w:snapToGrid w:val="0"/>
              <w:spacing w:line="560" w:lineRule="exact"/>
              <w:ind w:firstLine="0" w:firstLineChars="0"/>
              <w:jc w:val="center"/>
              <w:textAlignment w:val="baseline"/>
              <w:rPr>
                <w:rFonts w:ascii="仿宋_GB2312" w:hAnsi="仿宋_GB2312" w:eastAsia="仿宋_GB2312" w:cs="仿宋_GB2312"/>
                <w:spacing w:val="-4"/>
                <w:sz w:val="24"/>
                <w:szCs w:val="24"/>
                <w:lang w:eastAsia="zh-CN"/>
              </w:rPr>
            </w:pPr>
            <w:r>
              <w:rPr>
                <w:rFonts w:hint="eastAsia" w:ascii="仿宋_GB2312" w:hAnsi="仿宋_GB2312" w:eastAsia="仿宋_GB2312" w:cs="仿宋_GB2312"/>
                <w:spacing w:val="-4"/>
                <w:sz w:val="24"/>
                <w:szCs w:val="24"/>
                <w:lang w:eastAsia="zh-CN"/>
              </w:rPr>
              <w:t>预期性</w:t>
            </w:r>
          </w:p>
        </w:tc>
      </w:tr>
      <w:tr w14:paraId="58C929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29" w:type="dxa"/>
            <w:vMerge w:val="restart"/>
            <w:vAlign w:val="center"/>
          </w:tcPr>
          <w:p w14:paraId="3E329297">
            <w:pPr>
              <w:keepNext w:val="0"/>
              <w:keepLines w:val="0"/>
              <w:pageBreakBefore w:val="0"/>
              <w:wordWrap/>
              <w:topLinePunct w:val="0"/>
              <w:bidi w:val="0"/>
              <w:spacing w:line="560" w:lineRule="exact"/>
              <w:ind w:firstLine="0" w:firstLineChars="0"/>
              <w:jc w:val="center"/>
              <w:rPr>
                <w:spacing w:val="-4"/>
                <w:sz w:val="24"/>
                <w:szCs w:val="24"/>
              </w:rPr>
            </w:pPr>
            <w:r>
              <w:rPr>
                <w:rFonts w:hint="eastAsia"/>
                <w:sz w:val="24"/>
                <w:szCs w:val="24"/>
              </w:rPr>
              <w:t>绿色生态</w:t>
            </w:r>
          </w:p>
        </w:tc>
        <w:tc>
          <w:tcPr>
            <w:tcW w:w="465" w:type="dxa"/>
            <w:vAlign w:val="center"/>
          </w:tcPr>
          <w:p w14:paraId="26310A38">
            <w:pPr>
              <w:keepNext w:val="0"/>
              <w:keepLines w:val="0"/>
              <w:pageBreakBefore w:val="0"/>
              <w:wordWrap/>
              <w:topLinePunct w:val="0"/>
              <w:bidi w:val="0"/>
              <w:spacing w:line="560" w:lineRule="exact"/>
              <w:ind w:firstLine="0" w:firstLineChars="0"/>
              <w:jc w:val="center"/>
              <w:rPr>
                <w:spacing w:val="-4"/>
                <w:sz w:val="24"/>
                <w:szCs w:val="24"/>
              </w:rPr>
            </w:pPr>
            <w:r>
              <w:rPr>
                <w:rFonts w:hint="eastAsia"/>
                <w:sz w:val="24"/>
                <w:szCs w:val="24"/>
              </w:rPr>
              <w:t>9</w:t>
            </w:r>
          </w:p>
        </w:tc>
        <w:tc>
          <w:tcPr>
            <w:tcW w:w="2700" w:type="dxa"/>
            <w:vAlign w:val="center"/>
          </w:tcPr>
          <w:p w14:paraId="4E2F3866">
            <w:pPr>
              <w:pStyle w:val="27"/>
              <w:keepNext w:val="0"/>
              <w:keepLines w:val="0"/>
              <w:pageBreakBefore w:val="0"/>
              <w:kinsoku w:val="0"/>
              <w:wordWrap/>
              <w:topLinePunct w:val="0"/>
              <w:autoSpaceDE w:val="0"/>
              <w:autoSpaceDN w:val="0"/>
              <w:bidi w:val="0"/>
              <w:adjustRightInd w:val="0"/>
              <w:snapToGrid w:val="0"/>
              <w:spacing w:line="560" w:lineRule="exact"/>
              <w:ind w:firstLine="0" w:firstLineChars="0"/>
              <w:jc w:val="center"/>
              <w:textAlignment w:val="baseline"/>
              <w:rPr>
                <w:rFonts w:ascii="仿宋_GB2312" w:hAnsi="仿宋_GB2312" w:eastAsia="仿宋_GB2312" w:cs="仿宋_GB2312"/>
                <w:spacing w:val="-4"/>
                <w:sz w:val="24"/>
                <w:szCs w:val="24"/>
                <w:lang w:eastAsia="zh-CN"/>
              </w:rPr>
            </w:pPr>
            <w:r>
              <w:rPr>
                <w:rFonts w:hint="eastAsia" w:ascii="仿宋_GB2312" w:hAnsi="仿宋_GB2312" w:eastAsia="仿宋_GB2312" w:cs="仿宋_GB2312"/>
                <w:spacing w:val="-4"/>
                <w:sz w:val="24"/>
                <w:szCs w:val="24"/>
                <w:lang w:eastAsia="zh-CN"/>
              </w:rPr>
              <w:t>单位地区生产总值二氧化碳排放量降低</w:t>
            </w:r>
          </w:p>
        </w:tc>
        <w:tc>
          <w:tcPr>
            <w:tcW w:w="885" w:type="dxa"/>
            <w:vAlign w:val="center"/>
          </w:tcPr>
          <w:p w14:paraId="166E7535">
            <w:pPr>
              <w:pStyle w:val="27"/>
              <w:keepNext w:val="0"/>
              <w:keepLines w:val="0"/>
              <w:pageBreakBefore w:val="0"/>
              <w:kinsoku w:val="0"/>
              <w:wordWrap/>
              <w:topLinePunct w:val="0"/>
              <w:autoSpaceDE w:val="0"/>
              <w:autoSpaceDN w:val="0"/>
              <w:bidi w:val="0"/>
              <w:adjustRightInd w:val="0"/>
              <w:snapToGrid w:val="0"/>
              <w:spacing w:line="560" w:lineRule="exact"/>
              <w:ind w:firstLine="0" w:firstLineChars="0"/>
              <w:jc w:val="center"/>
              <w:textAlignment w:val="baseline"/>
              <w:rPr>
                <w:rFonts w:ascii="仿宋_GB2312" w:hAnsi="仿宋_GB2312" w:eastAsia="仿宋_GB2312" w:cs="仿宋_GB2312"/>
                <w:spacing w:val="-4"/>
                <w:sz w:val="24"/>
                <w:szCs w:val="24"/>
                <w:lang w:eastAsia="zh-CN"/>
              </w:rPr>
            </w:pPr>
            <w:r>
              <w:rPr>
                <w:rFonts w:hint="eastAsia" w:ascii="仿宋_GB2312" w:hAnsi="仿宋_GB2312" w:eastAsia="仿宋_GB2312" w:cs="仿宋_GB2312"/>
                <w:spacing w:val="-4"/>
                <w:sz w:val="24"/>
                <w:szCs w:val="24"/>
                <w:lang w:eastAsia="zh-CN"/>
              </w:rPr>
              <w:t>%</w:t>
            </w:r>
          </w:p>
        </w:tc>
        <w:tc>
          <w:tcPr>
            <w:tcW w:w="1140" w:type="dxa"/>
            <w:vAlign w:val="center"/>
          </w:tcPr>
          <w:p w14:paraId="556B4456">
            <w:pPr>
              <w:pStyle w:val="27"/>
              <w:keepNext w:val="0"/>
              <w:keepLines w:val="0"/>
              <w:pageBreakBefore w:val="0"/>
              <w:kinsoku w:val="0"/>
              <w:wordWrap/>
              <w:topLinePunct w:val="0"/>
              <w:autoSpaceDE w:val="0"/>
              <w:autoSpaceDN w:val="0"/>
              <w:bidi w:val="0"/>
              <w:adjustRightInd w:val="0"/>
              <w:snapToGrid w:val="0"/>
              <w:spacing w:line="560" w:lineRule="exact"/>
              <w:ind w:firstLine="0" w:firstLineChars="0"/>
              <w:jc w:val="center"/>
              <w:textAlignment w:val="baseline"/>
              <w:rPr>
                <w:rFonts w:ascii="仿宋_GB2312" w:hAnsi="仿宋_GB2312" w:eastAsia="仿宋_GB2312" w:cs="仿宋_GB2312"/>
                <w:spacing w:val="-4"/>
                <w:sz w:val="24"/>
                <w:szCs w:val="24"/>
                <w:lang w:eastAsia="zh-CN"/>
              </w:rPr>
            </w:pPr>
            <w:r>
              <w:rPr>
                <w:rFonts w:hint="eastAsia" w:ascii="仿宋_GB2312" w:hAnsi="仿宋_GB2312" w:eastAsia="仿宋_GB2312" w:cs="仿宋_GB2312"/>
                <w:spacing w:val="-4"/>
                <w:sz w:val="24"/>
                <w:szCs w:val="24"/>
                <w:lang w:eastAsia="zh-CN"/>
              </w:rPr>
              <w:t>完成市下达任务</w:t>
            </w:r>
          </w:p>
        </w:tc>
        <w:tc>
          <w:tcPr>
            <w:tcW w:w="1170" w:type="dxa"/>
            <w:vMerge w:val="restart"/>
            <w:vAlign w:val="center"/>
          </w:tcPr>
          <w:p w14:paraId="203D2CF5">
            <w:pPr>
              <w:pStyle w:val="27"/>
              <w:keepNext w:val="0"/>
              <w:keepLines w:val="0"/>
              <w:pageBreakBefore w:val="0"/>
              <w:kinsoku w:val="0"/>
              <w:wordWrap/>
              <w:topLinePunct w:val="0"/>
              <w:autoSpaceDE w:val="0"/>
              <w:autoSpaceDN w:val="0"/>
              <w:bidi w:val="0"/>
              <w:adjustRightInd w:val="0"/>
              <w:snapToGrid w:val="0"/>
              <w:spacing w:line="560" w:lineRule="exact"/>
              <w:ind w:firstLine="0" w:firstLineChars="0"/>
              <w:jc w:val="center"/>
              <w:textAlignment w:val="baseline"/>
              <w:rPr>
                <w:rFonts w:ascii="仿宋_GB2312" w:hAnsi="仿宋_GB2312" w:eastAsia="仿宋_GB2312" w:cs="仿宋_GB2312"/>
                <w:spacing w:val="-4"/>
                <w:sz w:val="24"/>
                <w:szCs w:val="24"/>
                <w:lang w:eastAsia="zh-CN"/>
              </w:rPr>
            </w:pPr>
            <w:r>
              <w:rPr>
                <w:rFonts w:hint="eastAsia" w:ascii="仿宋_GB2312" w:hAnsi="仿宋_GB2312" w:eastAsia="仿宋_GB2312" w:cs="仿宋_GB2312"/>
                <w:spacing w:val="-4"/>
                <w:sz w:val="24"/>
                <w:szCs w:val="24"/>
                <w:lang w:eastAsia="zh-CN"/>
              </w:rPr>
              <w:t>完成市下达任务</w:t>
            </w:r>
          </w:p>
        </w:tc>
        <w:tc>
          <w:tcPr>
            <w:tcW w:w="1410" w:type="dxa"/>
            <w:vAlign w:val="center"/>
          </w:tcPr>
          <w:p w14:paraId="48E42674">
            <w:pPr>
              <w:pStyle w:val="27"/>
              <w:keepNext w:val="0"/>
              <w:keepLines w:val="0"/>
              <w:pageBreakBefore w:val="0"/>
              <w:kinsoku w:val="0"/>
              <w:wordWrap/>
              <w:topLinePunct w:val="0"/>
              <w:autoSpaceDE w:val="0"/>
              <w:autoSpaceDN w:val="0"/>
              <w:bidi w:val="0"/>
              <w:adjustRightInd w:val="0"/>
              <w:snapToGrid w:val="0"/>
              <w:spacing w:line="560" w:lineRule="exact"/>
              <w:ind w:firstLine="0" w:firstLineChars="0"/>
              <w:jc w:val="center"/>
              <w:textAlignment w:val="baseline"/>
              <w:rPr>
                <w:rFonts w:ascii="仿宋_GB2312" w:hAnsi="仿宋_GB2312" w:eastAsia="仿宋_GB2312" w:cs="仿宋_GB2312"/>
                <w:spacing w:val="-4"/>
                <w:sz w:val="24"/>
                <w:szCs w:val="24"/>
                <w:lang w:eastAsia="zh-CN"/>
              </w:rPr>
            </w:pPr>
            <w:r>
              <w:rPr>
                <w:rFonts w:hint="eastAsia" w:ascii="仿宋_GB2312" w:hAnsi="仿宋_GB2312" w:eastAsia="仿宋_GB2312" w:cs="仿宋_GB2312"/>
                <w:spacing w:val="-4"/>
                <w:sz w:val="24"/>
                <w:szCs w:val="24"/>
                <w:lang w:eastAsia="zh-CN"/>
              </w:rPr>
              <w:t>——</w:t>
            </w:r>
          </w:p>
        </w:tc>
        <w:tc>
          <w:tcPr>
            <w:tcW w:w="965" w:type="dxa"/>
            <w:vAlign w:val="center"/>
          </w:tcPr>
          <w:p w14:paraId="102E599B">
            <w:pPr>
              <w:pStyle w:val="27"/>
              <w:keepNext w:val="0"/>
              <w:keepLines w:val="0"/>
              <w:pageBreakBefore w:val="0"/>
              <w:kinsoku w:val="0"/>
              <w:wordWrap/>
              <w:topLinePunct w:val="0"/>
              <w:autoSpaceDE w:val="0"/>
              <w:autoSpaceDN w:val="0"/>
              <w:bidi w:val="0"/>
              <w:adjustRightInd w:val="0"/>
              <w:snapToGrid w:val="0"/>
              <w:spacing w:line="560" w:lineRule="exact"/>
              <w:ind w:firstLine="0" w:firstLineChars="0"/>
              <w:jc w:val="center"/>
              <w:textAlignment w:val="baseline"/>
              <w:rPr>
                <w:rFonts w:ascii="仿宋_GB2312" w:hAnsi="仿宋_GB2312" w:eastAsia="仿宋_GB2312" w:cs="仿宋_GB2312"/>
                <w:spacing w:val="-4"/>
                <w:sz w:val="24"/>
                <w:szCs w:val="24"/>
                <w:lang w:eastAsia="zh-CN"/>
              </w:rPr>
            </w:pPr>
            <w:r>
              <w:rPr>
                <w:rFonts w:hint="eastAsia" w:ascii="仿宋_GB2312" w:hAnsi="仿宋_GB2312" w:eastAsia="仿宋_GB2312" w:cs="仿宋_GB2312"/>
                <w:spacing w:val="-4"/>
                <w:sz w:val="24"/>
                <w:szCs w:val="24"/>
                <w:lang w:eastAsia="zh-CN"/>
              </w:rPr>
              <w:t>约束性</w:t>
            </w:r>
          </w:p>
        </w:tc>
      </w:tr>
      <w:tr w14:paraId="66EB82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29" w:type="dxa"/>
            <w:vMerge w:val="continue"/>
            <w:vAlign w:val="center"/>
          </w:tcPr>
          <w:p w14:paraId="4B6FC800">
            <w:pPr>
              <w:keepNext w:val="0"/>
              <w:keepLines w:val="0"/>
              <w:pageBreakBefore w:val="0"/>
              <w:wordWrap/>
              <w:topLinePunct w:val="0"/>
              <w:bidi w:val="0"/>
              <w:spacing w:line="560" w:lineRule="exact"/>
              <w:ind w:firstLine="0" w:firstLineChars="0"/>
              <w:jc w:val="center"/>
              <w:rPr>
                <w:spacing w:val="-4"/>
                <w:sz w:val="24"/>
                <w:szCs w:val="24"/>
              </w:rPr>
            </w:pPr>
          </w:p>
        </w:tc>
        <w:tc>
          <w:tcPr>
            <w:tcW w:w="465" w:type="dxa"/>
            <w:vAlign w:val="center"/>
          </w:tcPr>
          <w:p w14:paraId="6B62C83C">
            <w:pPr>
              <w:keepNext w:val="0"/>
              <w:keepLines w:val="0"/>
              <w:pageBreakBefore w:val="0"/>
              <w:wordWrap/>
              <w:topLinePunct w:val="0"/>
              <w:bidi w:val="0"/>
              <w:spacing w:line="560" w:lineRule="exact"/>
              <w:ind w:firstLine="0" w:firstLineChars="0"/>
              <w:jc w:val="center"/>
              <w:rPr>
                <w:spacing w:val="-4"/>
                <w:sz w:val="24"/>
                <w:szCs w:val="24"/>
              </w:rPr>
            </w:pPr>
            <w:r>
              <w:rPr>
                <w:rFonts w:hint="eastAsia"/>
                <w:sz w:val="24"/>
                <w:szCs w:val="24"/>
              </w:rPr>
              <w:t>10</w:t>
            </w:r>
          </w:p>
        </w:tc>
        <w:tc>
          <w:tcPr>
            <w:tcW w:w="2700" w:type="dxa"/>
            <w:vAlign w:val="center"/>
          </w:tcPr>
          <w:p w14:paraId="4FD5D8B1">
            <w:pPr>
              <w:pStyle w:val="27"/>
              <w:keepNext w:val="0"/>
              <w:keepLines w:val="0"/>
              <w:pageBreakBefore w:val="0"/>
              <w:kinsoku w:val="0"/>
              <w:wordWrap/>
              <w:topLinePunct w:val="0"/>
              <w:autoSpaceDE w:val="0"/>
              <w:autoSpaceDN w:val="0"/>
              <w:bidi w:val="0"/>
              <w:adjustRightInd w:val="0"/>
              <w:snapToGrid w:val="0"/>
              <w:spacing w:line="560" w:lineRule="exact"/>
              <w:ind w:firstLine="0" w:firstLineChars="0"/>
              <w:jc w:val="center"/>
              <w:textAlignment w:val="baseline"/>
              <w:rPr>
                <w:rFonts w:ascii="仿宋_GB2312" w:hAnsi="仿宋_GB2312" w:eastAsia="仿宋_GB2312" w:cs="仿宋_GB2312"/>
                <w:spacing w:val="-4"/>
                <w:sz w:val="24"/>
                <w:szCs w:val="24"/>
                <w:lang w:eastAsia="zh-CN"/>
              </w:rPr>
            </w:pPr>
            <w:r>
              <w:rPr>
                <w:rFonts w:hint="eastAsia" w:ascii="仿宋_GB2312" w:hAnsi="仿宋_GB2312" w:eastAsia="仿宋_GB2312" w:cs="仿宋_GB2312"/>
                <w:spacing w:val="-4"/>
                <w:sz w:val="24"/>
                <w:szCs w:val="24"/>
                <w:lang w:eastAsia="zh-CN"/>
              </w:rPr>
              <w:t>非化石能源消费占能源消费总量比重</w:t>
            </w:r>
          </w:p>
        </w:tc>
        <w:tc>
          <w:tcPr>
            <w:tcW w:w="885" w:type="dxa"/>
            <w:vAlign w:val="center"/>
          </w:tcPr>
          <w:p w14:paraId="54496CB4">
            <w:pPr>
              <w:pStyle w:val="27"/>
              <w:keepNext w:val="0"/>
              <w:keepLines w:val="0"/>
              <w:pageBreakBefore w:val="0"/>
              <w:kinsoku w:val="0"/>
              <w:wordWrap/>
              <w:topLinePunct w:val="0"/>
              <w:autoSpaceDE w:val="0"/>
              <w:autoSpaceDN w:val="0"/>
              <w:bidi w:val="0"/>
              <w:adjustRightInd w:val="0"/>
              <w:snapToGrid w:val="0"/>
              <w:spacing w:line="560" w:lineRule="exact"/>
              <w:ind w:firstLine="0" w:firstLineChars="0"/>
              <w:jc w:val="center"/>
              <w:textAlignment w:val="baseline"/>
              <w:rPr>
                <w:rFonts w:ascii="仿宋_GB2312" w:hAnsi="仿宋_GB2312" w:eastAsia="仿宋_GB2312" w:cs="仿宋_GB2312"/>
                <w:spacing w:val="-4"/>
                <w:sz w:val="24"/>
                <w:szCs w:val="24"/>
                <w:lang w:eastAsia="zh-CN"/>
              </w:rPr>
            </w:pPr>
            <w:r>
              <w:rPr>
                <w:rFonts w:hint="eastAsia" w:ascii="仿宋_GB2312" w:hAnsi="仿宋_GB2312" w:eastAsia="仿宋_GB2312" w:cs="仿宋_GB2312"/>
                <w:spacing w:val="-4"/>
                <w:sz w:val="24"/>
                <w:szCs w:val="24"/>
                <w:lang w:eastAsia="zh-CN"/>
              </w:rPr>
              <w:t>%</w:t>
            </w:r>
          </w:p>
        </w:tc>
        <w:tc>
          <w:tcPr>
            <w:tcW w:w="1140" w:type="dxa"/>
            <w:vAlign w:val="center"/>
          </w:tcPr>
          <w:p w14:paraId="76E694E5">
            <w:pPr>
              <w:pStyle w:val="27"/>
              <w:keepNext w:val="0"/>
              <w:keepLines w:val="0"/>
              <w:pageBreakBefore w:val="0"/>
              <w:kinsoku w:val="0"/>
              <w:wordWrap/>
              <w:topLinePunct w:val="0"/>
              <w:autoSpaceDE w:val="0"/>
              <w:autoSpaceDN w:val="0"/>
              <w:bidi w:val="0"/>
              <w:adjustRightInd w:val="0"/>
              <w:snapToGrid w:val="0"/>
              <w:spacing w:line="560" w:lineRule="exact"/>
              <w:ind w:firstLine="0" w:firstLineChars="0"/>
              <w:jc w:val="center"/>
              <w:textAlignment w:val="baseline"/>
              <w:rPr>
                <w:rFonts w:ascii="仿宋_GB2312" w:hAnsi="仿宋_GB2312" w:eastAsia="仿宋_GB2312" w:cs="仿宋_GB2312"/>
                <w:spacing w:val="-4"/>
                <w:sz w:val="24"/>
                <w:szCs w:val="24"/>
                <w:lang w:eastAsia="zh-CN"/>
              </w:rPr>
            </w:pPr>
            <w:r>
              <w:rPr>
                <w:rFonts w:hint="eastAsia" w:ascii="仿宋_GB2312" w:hAnsi="仿宋_GB2312" w:eastAsia="仿宋_GB2312" w:cs="仿宋_GB2312"/>
                <w:spacing w:val="-4"/>
                <w:sz w:val="24"/>
                <w:szCs w:val="24"/>
                <w:lang w:eastAsia="zh-CN"/>
              </w:rPr>
              <w:t>——</w:t>
            </w:r>
          </w:p>
        </w:tc>
        <w:tc>
          <w:tcPr>
            <w:tcW w:w="1170" w:type="dxa"/>
            <w:vMerge w:val="continue"/>
            <w:vAlign w:val="center"/>
          </w:tcPr>
          <w:p w14:paraId="16A8432E">
            <w:pPr>
              <w:pStyle w:val="27"/>
              <w:keepNext w:val="0"/>
              <w:keepLines w:val="0"/>
              <w:pageBreakBefore w:val="0"/>
              <w:kinsoku w:val="0"/>
              <w:wordWrap/>
              <w:topLinePunct w:val="0"/>
              <w:autoSpaceDE w:val="0"/>
              <w:autoSpaceDN w:val="0"/>
              <w:bidi w:val="0"/>
              <w:adjustRightInd w:val="0"/>
              <w:snapToGrid w:val="0"/>
              <w:spacing w:line="560" w:lineRule="exact"/>
              <w:ind w:firstLine="0" w:firstLineChars="0"/>
              <w:jc w:val="center"/>
              <w:textAlignment w:val="baseline"/>
              <w:rPr>
                <w:rFonts w:ascii="仿宋_GB2312" w:hAnsi="仿宋_GB2312" w:eastAsia="仿宋_GB2312" w:cs="仿宋_GB2312"/>
                <w:spacing w:val="-4"/>
                <w:sz w:val="24"/>
                <w:szCs w:val="24"/>
                <w:lang w:eastAsia="zh-CN"/>
              </w:rPr>
            </w:pPr>
          </w:p>
        </w:tc>
        <w:tc>
          <w:tcPr>
            <w:tcW w:w="1410" w:type="dxa"/>
            <w:vAlign w:val="center"/>
          </w:tcPr>
          <w:p w14:paraId="435DEFC8">
            <w:pPr>
              <w:pStyle w:val="27"/>
              <w:keepNext w:val="0"/>
              <w:keepLines w:val="0"/>
              <w:pageBreakBefore w:val="0"/>
              <w:kinsoku w:val="0"/>
              <w:wordWrap/>
              <w:topLinePunct w:val="0"/>
              <w:autoSpaceDE w:val="0"/>
              <w:autoSpaceDN w:val="0"/>
              <w:bidi w:val="0"/>
              <w:adjustRightInd w:val="0"/>
              <w:snapToGrid w:val="0"/>
              <w:spacing w:line="560" w:lineRule="exact"/>
              <w:ind w:firstLine="0" w:firstLineChars="0"/>
              <w:jc w:val="center"/>
              <w:textAlignment w:val="baseline"/>
              <w:rPr>
                <w:rFonts w:ascii="仿宋_GB2312" w:hAnsi="仿宋_GB2312" w:eastAsia="仿宋_GB2312" w:cs="仿宋_GB2312"/>
                <w:spacing w:val="-4"/>
                <w:sz w:val="24"/>
                <w:szCs w:val="24"/>
                <w:lang w:eastAsia="zh-CN"/>
              </w:rPr>
            </w:pPr>
            <w:r>
              <w:rPr>
                <w:rFonts w:hint="eastAsia" w:ascii="仿宋_GB2312" w:hAnsi="仿宋_GB2312" w:eastAsia="仿宋_GB2312" w:cs="仿宋_GB2312"/>
                <w:spacing w:val="-4"/>
                <w:sz w:val="24"/>
                <w:szCs w:val="24"/>
                <w:lang w:eastAsia="zh-CN"/>
              </w:rPr>
              <w:t>——</w:t>
            </w:r>
          </w:p>
        </w:tc>
        <w:tc>
          <w:tcPr>
            <w:tcW w:w="965" w:type="dxa"/>
            <w:vAlign w:val="center"/>
          </w:tcPr>
          <w:p w14:paraId="62CD0895">
            <w:pPr>
              <w:pStyle w:val="27"/>
              <w:keepNext w:val="0"/>
              <w:keepLines w:val="0"/>
              <w:pageBreakBefore w:val="0"/>
              <w:kinsoku w:val="0"/>
              <w:wordWrap/>
              <w:topLinePunct w:val="0"/>
              <w:autoSpaceDE w:val="0"/>
              <w:autoSpaceDN w:val="0"/>
              <w:bidi w:val="0"/>
              <w:adjustRightInd w:val="0"/>
              <w:snapToGrid w:val="0"/>
              <w:spacing w:line="560" w:lineRule="exact"/>
              <w:ind w:firstLine="0" w:firstLineChars="0"/>
              <w:jc w:val="center"/>
              <w:textAlignment w:val="baseline"/>
              <w:rPr>
                <w:rFonts w:ascii="仿宋_GB2312" w:hAnsi="仿宋_GB2312" w:eastAsia="仿宋_GB2312" w:cs="仿宋_GB2312"/>
                <w:spacing w:val="-4"/>
                <w:sz w:val="24"/>
                <w:szCs w:val="24"/>
                <w:lang w:eastAsia="zh-CN"/>
              </w:rPr>
            </w:pPr>
            <w:r>
              <w:rPr>
                <w:rFonts w:hint="eastAsia" w:ascii="仿宋_GB2312" w:hAnsi="仿宋_GB2312" w:eastAsia="仿宋_GB2312" w:cs="仿宋_GB2312"/>
                <w:spacing w:val="-4"/>
                <w:sz w:val="24"/>
                <w:szCs w:val="24"/>
                <w:lang w:eastAsia="zh-CN"/>
              </w:rPr>
              <w:t>约束性</w:t>
            </w:r>
          </w:p>
        </w:tc>
      </w:tr>
      <w:tr w14:paraId="7AE5CF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29" w:type="dxa"/>
            <w:vMerge w:val="continue"/>
            <w:vAlign w:val="center"/>
          </w:tcPr>
          <w:p w14:paraId="54B79902">
            <w:pPr>
              <w:keepNext w:val="0"/>
              <w:keepLines w:val="0"/>
              <w:pageBreakBefore w:val="0"/>
              <w:wordWrap/>
              <w:topLinePunct w:val="0"/>
              <w:bidi w:val="0"/>
              <w:spacing w:line="560" w:lineRule="exact"/>
              <w:ind w:firstLine="0" w:firstLineChars="0"/>
              <w:jc w:val="center"/>
              <w:rPr>
                <w:spacing w:val="-4"/>
                <w:sz w:val="24"/>
                <w:szCs w:val="24"/>
              </w:rPr>
            </w:pPr>
          </w:p>
        </w:tc>
        <w:tc>
          <w:tcPr>
            <w:tcW w:w="465" w:type="dxa"/>
            <w:vAlign w:val="center"/>
          </w:tcPr>
          <w:p w14:paraId="44D84015">
            <w:pPr>
              <w:keepNext w:val="0"/>
              <w:keepLines w:val="0"/>
              <w:pageBreakBefore w:val="0"/>
              <w:wordWrap/>
              <w:topLinePunct w:val="0"/>
              <w:bidi w:val="0"/>
              <w:spacing w:line="560" w:lineRule="exact"/>
              <w:ind w:firstLine="0" w:firstLineChars="0"/>
              <w:jc w:val="center"/>
              <w:rPr>
                <w:spacing w:val="-4"/>
                <w:sz w:val="24"/>
                <w:szCs w:val="24"/>
              </w:rPr>
            </w:pPr>
            <w:r>
              <w:rPr>
                <w:rFonts w:hint="eastAsia"/>
                <w:sz w:val="24"/>
                <w:szCs w:val="24"/>
              </w:rPr>
              <w:t>11</w:t>
            </w:r>
          </w:p>
        </w:tc>
        <w:tc>
          <w:tcPr>
            <w:tcW w:w="2700" w:type="dxa"/>
            <w:vAlign w:val="center"/>
          </w:tcPr>
          <w:p w14:paraId="738755E7">
            <w:pPr>
              <w:pStyle w:val="27"/>
              <w:keepNext w:val="0"/>
              <w:keepLines w:val="0"/>
              <w:pageBreakBefore w:val="0"/>
              <w:kinsoku w:val="0"/>
              <w:wordWrap/>
              <w:topLinePunct w:val="0"/>
              <w:autoSpaceDE w:val="0"/>
              <w:autoSpaceDN w:val="0"/>
              <w:bidi w:val="0"/>
              <w:adjustRightInd w:val="0"/>
              <w:snapToGrid w:val="0"/>
              <w:spacing w:line="560" w:lineRule="exact"/>
              <w:ind w:firstLine="0" w:firstLineChars="0"/>
              <w:jc w:val="center"/>
              <w:textAlignment w:val="baseline"/>
              <w:rPr>
                <w:rFonts w:ascii="仿宋_GB2312" w:hAnsi="仿宋_GB2312" w:eastAsia="仿宋_GB2312" w:cs="仿宋_GB2312"/>
                <w:spacing w:val="-4"/>
                <w:sz w:val="24"/>
                <w:szCs w:val="24"/>
                <w:lang w:eastAsia="zh-CN"/>
              </w:rPr>
            </w:pPr>
            <w:r>
              <w:rPr>
                <w:rFonts w:hint="eastAsia" w:ascii="仿宋_GB2312" w:hAnsi="仿宋_GB2312" w:eastAsia="仿宋_GB2312" w:cs="仿宋_GB2312"/>
                <w:spacing w:val="-4"/>
                <w:sz w:val="24"/>
                <w:szCs w:val="24"/>
                <w:lang w:eastAsia="zh-CN"/>
              </w:rPr>
              <w:t>城市细颗粒物</w:t>
            </w:r>
          </w:p>
          <w:p w14:paraId="5667E4F0">
            <w:pPr>
              <w:pStyle w:val="27"/>
              <w:keepNext w:val="0"/>
              <w:keepLines w:val="0"/>
              <w:pageBreakBefore w:val="0"/>
              <w:kinsoku w:val="0"/>
              <w:wordWrap/>
              <w:topLinePunct w:val="0"/>
              <w:autoSpaceDE w:val="0"/>
              <w:autoSpaceDN w:val="0"/>
              <w:bidi w:val="0"/>
              <w:adjustRightInd w:val="0"/>
              <w:snapToGrid w:val="0"/>
              <w:spacing w:line="560" w:lineRule="exact"/>
              <w:ind w:firstLine="0" w:firstLineChars="0"/>
              <w:jc w:val="center"/>
              <w:textAlignment w:val="baseline"/>
              <w:rPr>
                <w:rFonts w:ascii="仿宋_GB2312" w:hAnsi="仿宋_GB2312" w:eastAsia="仿宋_GB2312" w:cs="仿宋_GB2312"/>
                <w:spacing w:val="-4"/>
                <w:sz w:val="24"/>
                <w:szCs w:val="24"/>
                <w:lang w:eastAsia="zh-CN"/>
              </w:rPr>
            </w:pPr>
            <w:r>
              <w:rPr>
                <w:rFonts w:hint="eastAsia" w:ascii="仿宋_GB2312" w:hAnsi="仿宋_GB2312" w:eastAsia="仿宋_GB2312" w:cs="仿宋_GB2312"/>
                <w:spacing w:val="-4"/>
                <w:sz w:val="24"/>
                <w:szCs w:val="24"/>
                <w:lang w:eastAsia="zh-CN"/>
              </w:rPr>
              <w:t>（PM2.5）浓度</w:t>
            </w:r>
          </w:p>
        </w:tc>
        <w:tc>
          <w:tcPr>
            <w:tcW w:w="885" w:type="dxa"/>
            <w:vAlign w:val="center"/>
          </w:tcPr>
          <w:p w14:paraId="79137EB9">
            <w:pPr>
              <w:pStyle w:val="27"/>
              <w:keepNext w:val="0"/>
              <w:keepLines w:val="0"/>
              <w:pageBreakBefore w:val="0"/>
              <w:kinsoku w:val="0"/>
              <w:wordWrap/>
              <w:topLinePunct w:val="0"/>
              <w:autoSpaceDE w:val="0"/>
              <w:autoSpaceDN w:val="0"/>
              <w:bidi w:val="0"/>
              <w:adjustRightInd w:val="0"/>
              <w:snapToGrid w:val="0"/>
              <w:spacing w:line="560" w:lineRule="exact"/>
              <w:ind w:firstLine="0" w:firstLineChars="0"/>
              <w:jc w:val="center"/>
              <w:textAlignment w:val="baseline"/>
              <w:rPr>
                <w:rFonts w:ascii="仿宋_GB2312" w:hAnsi="仿宋_GB2312" w:eastAsia="仿宋_GB2312" w:cs="仿宋_GB2312"/>
                <w:spacing w:val="-4"/>
                <w:sz w:val="24"/>
                <w:szCs w:val="24"/>
                <w:lang w:eastAsia="zh-CN"/>
              </w:rPr>
            </w:pPr>
            <w:r>
              <w:rPr>
                <w:rFonts w:hint="eastAsia" w:ascii="仿宋_GB2312" w:hAnsi="仿宋_GB2312" w:eastAsia="仿宋_GB2312" w:cs="仿宋_GB2312"/>
                <w:spacing w:val="-4"/>
                <w:sz w:val="24"/>
                <w:szCs w:val="24"/>
                <w:lang w:eastAsia="zh-CN"/>
              </w:rPr>
              <w:t>微克/立方米</w:t>
            </w:r>
          </w:p>
        </w:tc>
        <w:tc>
          <w:tcPr>
            <w:tcW w:w="1140" w:type="dxa"/>
            <w:vAlign w:val="center"/>
          </w:tcPr>
          <w:p w14:paraId="7CEDF5DE">
            <w:pPr>
              <w:pStyle w:val="27"/>
              <w:keepNext w:val="0"/>
              <w:keepLines w:val="0"/>
              <w:pageBreakBefore w:val="0"/>
              <w:kinsoku w:val="0"/>
              <w:wordWrap/>
              <w:topLinePunct w:val="0"/>
              <w:autoSpaceDE w:val="0"/>
              <w:autoSpaceDN w:val="0"/>
              <w:bidi w:val="0"/>
              <w:adjustRightInd w:val="0"/>
              <w:snapToGrid w:val="0"/>
              <w:spacing w:line="560" w:lineRule="exact"/>
              <w:ind w:firstLine="0" w:firstLineChars="0"/>
              <w:jc w:val="center"/>
              <w:textAlignment w:val="baseline"/>
              <w:rPr>
                <w:rFonts w:ascii="仿宋_GB2312" w:hAnsi="仿宋_GB2312" w:eastAsia="仿宋_GB2312" w:cs="仿宋_GB2312"/>
                <w:spacing w:val="-4"/>
                <w:sz w:val="24"/>
                <w:szCs w:val="24"/>
                <w:lang w:eastAsia="zh-CN"/>
              </w:rPr>
            </w:pPr>
            <w:r>
              <w:rPr>
                <w:rFonts w:hint="eastAsia" w:ascii="仿宋_GB2312" w:hAnsi="仿宋_GB2312" w:eastAsia="仿宋_GB2312" w:cs="仿宋_GB2312"/>
                <w:spacing w:val="-4"/>
                <w:sz w:val="24"/>
                <w:szCs w:val="24"/>
                <w:lang w:eastAsia="zh-CN"/>
              </w:rPr>
              <w:t>完成市下达任务</w:t>
            </w:r>
          </w:p>
        </w:tc>
        <w:tc>
          <w:tcPr>
            <w:tcW w:w="1170" w:type="dxa"/>
            <w:vMerge w:val="continue"/>
            <w:vAlign w:val="center"/>
          </w:tcPr>
          <w:p w14:paraId="1329A1F3">
            <w:pPr>
              <w:pStyle w:val="27"/>
              <w:keepNext w:val="0"/>
              <w:keepLines w:val="0"/>
              <w:pageBreakBefore w:val="0"/>
              <w:kinsoku w:val="0"/>
              <w:wordWrap/>
              <w:topLinePunct w:val="0"/>
              <w:autoSpaceDE w:val="0"/>
              <w:autoSpaceDN w:val="0"/>
              <w:bidi w:val="0"/>
              <w:adjustRightInd w:val="0"/>
              <w:snapToGrid w:val="0"/>
              <w:spacing w:line="560" w:lineRule="exact"/>
              <w:ind w:firstLine="0" w:firstLineChars="0"/>
              <w:jc w:val="center"/>
              <w:textAlignment w:val="baseline"/>
              <w:rPr>
                <w:rFonts w:ascii="仿宋_GB2312" w:hAnsi="仿宋_GB2312" w:eastAsia="仿宋_GB2312" w:cs="仿宋_GB2312"/>
                <w:spacing w:val="-4"/>
                <w:sz w:val="24"/>
                <w:szCs w:val="24"/>
                <w:lang w:eastAsia="zh-CN"/>
              </w:rPr>
            </w:pPr>
          </w:p>
        </w:tc>
        <w:tc>
          <w:tcPr>
            <w:tcW w:w="1410" w:type="dxa"/>
            <w:vAlign w:val="center"/>
          </w:tcPr>
          <w:p w14:paraId="24B0991C">
            <w:pPr>
              <w:pStyle w:val="27"/>
              <w:keepNext w:val="0"/>
              <w:keepLines w:val="0"/>
              <w:pageBreakBefore w:val="0"/>
              <w:kinsoku w:val="0"/>
              <w:wordWrap/>
              <w:topLinePunct w:val="0"/>
              <w:autoSpaceDE w:val="0"/>
              <w:autoSpaceDN w:val="0"/>
              <w:bidi w:val="0"/>
              <w:adjustRightInd w:val="0"/>
              <w:snapToGrid w:val="0"/>
              <w:spacing w:line="560" w:lineRule="exact"/>
              <w:ind w:firstLine="0" w:firstLineChars="0"/>
              <w:jc w:val="center"/>
              <w:textAlignment w:val="baseline"/>
              <w:rPr>
                <w:rFonts w:ascii="仿宋_GB2312" w:hAnsi="仿宋_GB2312" w:eastAsia="仿宋_GB2312" w:cs="仿宋_GB2312"/>
                <w:spacing w:val="-4"/>
                <w:sz w:val="24"/>
                <w:szCs w:val="24"/>
                <w:lang w:eastAsia="zh-CN"/>
              </w:rPr>
            </w:pPr>
            <w:r>
              <w:rPr>
                <w:rFonts w:hint="eastAsia" w:ascii="仿宋_GB2312" w:hAnsi="仿宋_GB2312" w:eastAsia="仿宋_GB2312" w:cs="仿宋_GB2312"/>
                <w:spacing w:val="-4"/>
                <w:sz w:val="24"/>
                <w:szCs w:val="24"/>
                <w:lang w:eastAsia="zh-CN"/>
              </w:rPr>
              <w:t>——</w:t>
            </w:r>
          </w:p>
        </w:tc>
        <w:tc>
          <w:tcPr>
            <w:tcW w:w="965" w:type="dxa"/>
            <w:vAlign w:val="center"/>
          </w:tcPr>
          <w:p w14:paraId="06E32A8B">
            <w:pPr>
              <w:pStyle w:val="27"/>
              <w:keepNext w:val="0"/>
              <w:keepLines w:val="0"/>
              <w:pageBreakBefore w:val="0"/>
              <w:kinsoku w:val="0"/>
              <w:wordWrap/>
              <w:topLinePunct w:val="0"/>
              <w:autoSpaceDE w:val="0"/>
              <w:autoSpaceDN w:val="0"/>
              <w:bidi w:val="0"/>
              <w:adjustRightInd w:val="0"/>
              <w:snapToGrid w:val="0"/>
              <w:spacing w:line="560" w:lineRule="exact"/>
              <w:ind w:firstLine="0" w:firstLineChars="0"/>
              <w:jc w:val="center"/>
              <w:textAlignment w:val="baseline"/>
              <w:rPr>
                <w:rFonts w:ascii="仿宋_GB2312" w:hAnsi="仿宋_GB2312" w:eastAsia="仿宋_GB2312" w:cs="仿宋_GB2312"/>
                <w:spacing w:val="-4"/>
                <w:sz w:val="24"/>
                <w:szCs w:val="24"/>
                <w:lang w:eastAsia="zh-CN"/>
              </w:rPr>
            </w:pPr>
            <w:r>
              <w:rPr>
                <w:rFonts w:hint="eastAsia" w:ascii="仿宋_GB2312" w:hAnsi="仿宋_GB2312" w:eastAsia="仿宋_GB2312" w:cs="仿宋_GB2312"/>
                <w:spacing w:val="-4"/>
                <w:sz w:val="24"/>
                <w:szCs w:val="24"/>
                <w:lang w:eastAsia="zh-CN"/>
              </w:rPr>
              <w:t>约束性</w:t>
            </w:r>
          </w:p>
        </w:tc>
      </w:tr>
      <w:tr w14:paraId="2407CD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29" w:type="dxa"/>
            <w:vMerge w:val="continue"/>
            <w:vAlign w:val="center"/>
          </w:tcPr>
          <w:p w14:paraId="19A05D59">
            <w:pPr>
              <w:keepNext w:val="0"/>
              <w:keepLines w:val="0"/>
              <w:pageBreakBefore w:val="0"/>
              <w:wordWrap/>
              <w:topLinePunct w:val="0"/>
              <w:bidi w:val="0"/>
              <w:spacing w:line="560" w:lineRule="exact"/>
              <w:ind w:firstLine="0" w:firstLineChars="0"/>
              <w:jc w:val="center"/>
              <w:rPr>
                <w:spacing w:val="-4"/>
                <w:sz w:val="24"/>
                <w:szCs w:val="24"/>
              </w:rPr>
            </w:pPr>
          </w:p>
        </w:tc>
        <w:tc>
          <w:tcPr>
            <w:tcW w:w="465" w:type="dxa"/>
            <w:vAlign w:val="center"/>
          </w:tcPr>
          <w:p w14:paraId="24D00900">
            <w:pPr>
              <w:keepNext w:val="0"/>
              <w:keepLines w:val="0"/>
              <w:pageBreakBefore w:val="0"/>
              <w:wordWrap/>
              <w:topLinePunct w:val="0"/>
              <w:bidi w:val="0"/>
              <w:spacing w:line="560" w:lineRule="exact"/>
              <w:ind w:firstLine="0" w:firstLineChars="0"/>
              <w:jc w:val="center"/>
              <w:rPr>
                <w:spacing w:val="-4"/>
                <w:sz w:val="24"/>
                <w:szCs w:val="24"/>
              </w:rPr>
            </w:pPr>
            <w:r>
              <w:rPr>
                <w:rFonts w:hint="eastAsia"/>
                <w:sz w:val="24"/>
                <w:szCs w:val="24"/>
              </w:rPr>
              <w:t>12</w:t>
            </w:r>
          </w:p>
        </w:tc>
        <w:tc>
          <w:tcPr>
            <w:tcW w:w="2700" w:type="dxa"/>
            <w:vAlign w:val="center"/>
          </w:tcPr>
          <w:p w14:paraId="5C69F954">
            <w:pPr>
              <w:pStyle w:val="27"/>
              <w:keepNext w:val="0"/>
              <w:keepLines w:val="0"/>
              <w:pageBreakBefore w:val="0"/>
              <w:kinsoku w:val="0"/>
              <w:wordWrap/>
              <w:topLinePunct w:val="0"/>
              <w:autoSpaceDE w:val="0"/>
              <w:autoSpaceDN w:val="0"/>
              <w:bidi w:val="0"/>
              <w:adjustRightInd w:val="0"/>
              <w:snapToGrid w:val="0"/>
              <w:spacing w:line="560" w:lineRule="exact"/>
              <w:ind w:firstLine="0" w:firstLineChars="0"/>
              <w:jc w:val="center"/>
              <w:textAlignment w:val="baseline"/>
              <w:rPr>
                <w:rFonts w:ascii="仿宋_GB2312" w:hAnsi="仿宋_GB2312" w:eastAsia="仿宋_GB2312" w:cs="仿宋_GB2312"/>
                <w:spacing w:val="-4"/>
                <w:sz w:val="24"/>
                <w:szCs w:val="24"/>
                <w:lang w:eastAsia="zh-CN"/>
              </w:rPr>
            </w:pPr>
            <w:r>
              <w:rPr>
                <w:rFonts w:hint="eastAsia" w:ascii="仿宋_GB2312" w:hAnsi="仿宋_GB2312" w:eastAsia="仿宋_GB2312" w:cs="仿宋_GB2312"/>
                <w:spacing w:val="-4"/>
                <w:sz w:val="24"/>
                <w:szCs w:val="24"/>
                <w:lang w:eastAsia="zh-CN"/>
              </w:rPr>
              <w:t>优良水体比例</w:t>
            </w:r>
          </w:p>
        </w:tc>
        <w:tc>
          <w:tcPr>
            <w:tcW w:w="885" w:type="dxa"/>
            <w:vAlign w:val="center"/>
          </w:tcPr>
          <w:p w14:paraId="0BA17836">
            <w:pPr>
              <w:pStyle w:val="27"/>
              <w:keepNext w:val="0"/>
              <w:keepLines w:val="0"/>
              <w:pageBreakBefore w:val="0"/>
              <w:kinsoku w:val="0"/>
              <w:wordWrap/>
              <w:topLinePunct w:val="0"/>
              <w:autoSpaceDE w:val="0"/>
              <w:autoSpaceDN w:val="0"/>
              <w:bidi w:val="0"/>
              <w:adjustRightInd w:val="0"/>
              <w:snapToGrid w:val="0"/>
              <w:spacing w:line="560" w:lineRule="exact"/>
              <w:ind w:firstLine="0" w:firstLineChars="0"/>
              <w:jc w:val="center"/>
              <w:textAlignment w:val="baseline"/>
              <w:rPr>
                <w:rFonts w:ascii="仿宋_GB2312" w:hAnsi="仿宋_GB2312" w:eastAsia="仿宋_GB2312" w:cs="仿宋_GB2312"/>
                <w:spacing w:val="-4"/>
                <w:sz w:val="24"/>
                <w:szCs w:val="24"/>
                <w:lang w:eastAsia="zh-CN"/>
              </w:rPr>
            </w:pPr>
            <w:r>
              <w:rPr>
                <w:rFonts w:hint="eastAsia" w:ascii="仿宋_GB2312" w:hAnsi="仿宋_GB2312" w:eastAsia="仿宋_GB2312" w:cs="仿宋_GB2312"/>
                <w:spacing w:val="-4"/>
                <w:sz w:val="24"/>
                <w:szCs w:val="24"/>
                <w:lang w:eastAsia="zh-CN"/>
              </w:rPr>
              <w:t>%</w:t>
            </w:r>
          </w:p>
        </w:tc>
        <w:tc>
          <w:tcPr>
            <w:tcW w:w="1140" w:type="dxa"/>
            <w:vAlign w:val="center"/>
          </w:tcPr>
          <w:p w14:paraId="61FF8733">
            <w:pPr>
              <w:pStyle w:val="27"/>
              <w:keepNext w:val="0"/>
              <w:keepLines w:val="0"/>
              <w:pageBreakBefore w:val="0"/>
              <w:tabs>
                <w:tab w:val="left" w:pos="523"/>
              </w:tabs>
              <w:kinsoku w:val="0"/>
              <w:wordWrap/>
              <w:topLinePunct w:val="0"/>
              <w:autoSpaceDE w:val="0"/>
              <w:autoSpaceDN w:val="0"/>
              <w:bidi w:val="0"/>
              <w:adjustRightInd w:val="0"/>
              <w:snapToGrid w:val="0"/>
              <w:spacing w:line="560" w:lineRule="exact"/>
              <w:ind w:firstLine="0" w:firstLineChars="0"/>
              <w:jc w:val="center"/>
              <w:textAlignment w:val="baseline"/>
              <w:rPr>
                <w:rFonts w:ascii="仿宋_GB2312" w:hAnsi="仿宋_GB2312" w:eastAsia="仿宋_GB2312" w:cs="仿宋_GB2312"/>
                <w:spacing w:val="-4"/>
                <w:sz w:val="24"/>
                <w:szCs w:val="24"/>
                <w:lang w:eastAsia="zh-CN"/>
              </w:rPr>
            </w:pPr>
            <w:r>
              <w:rPr>
                <w:rFonts w:hint="eastAsia" w:ascii="仿宋_GB2312" w:hAnsi="仿宋_GB2312" w:eastAsia="仿宋_GB2312" w:cs="仿宋_GB2312"/>
                <w:spacing w:val="-4"/>
                <w:sz w:val="24"/>
                <w:szCs w:val="24"/>
                <w:lang w:eastAsia="zh-CN"/>
              </w:rPr>
              <w:t>——</w:t>
            </w:r>
          </w:p>
        </w:tc>
        <w:tc>
          <w:tcPr>
            <w:tcW w:w="1170" w:type="dxa"/>
            <w:vMerge w:val="continue"/>
            <w:vAlign w:val="center"/>
          </w:tcPr>
          <w:p w14:paraId="6498C7ED">
            <w:pPr>
              <w:pStyle w:val="27"/>
              <w:keepNext w:val="0"/>
              <w:keepLines w:val="0"/>
              <w:pageBreakBefore w:val="0"/>
              <w:kinsoku w:val="0"/>
              <w:wordWrap/>
              <w:topLinePunct w:val="0"/>
              <w:autoSpaceDE w:val="0"/>
              <w:autoSpaceDN w:val="0"/>
              <w:bidi w:val="0"/>
              <w:adjustRightInd w:val="0"/>
              <w:snapToGrid w:val="0"/>
              <w:spacing w:line="560" w:lineRule="exact"/>
              <w:ind w:firstLine="0" w:firstLineChars="0"/>
              <w:jc w:val="center"/>
              <w:textAlignment w:val="baseline"/>
              <w:rPr>
                <w:rFonts w:ascii="仿宋_GB2312" w:hAnsi="仿宋_GB2312" w:eastAsia="仿宋_GB2312" w:cs="仿宋_GB2312"/>
                <w:spacing w:val="-4"/>
                <w:sz w:val="24"/>
                <w:szCs w:val="24"/>
                <w:lang w:eastAsia="zh-CN"/>
              </w:rPr>
            </w:pPr>
          </w:p>
        </w:tc>
        <w:tc>
          <w:tcPr>
            <w:tcW w:w="1410" w:type="dxa"/>
            <w:vAlign w:val="center"/>
          </w:tcPr>
          <w:p w14:paraId="06D80820">
            <w:pPr>
              <w:pStyle w:val="27"/>
              <w:keepNext w:val="0"/>
              <w:keepLines w:val="0"/>
              <w:pageBreakBefore w:val="0"/>
              <w:kinsoku w:val="0"/>
              <w:wordWrap/>
              <w:topLinePunct w:val="0"/>
              <w:autoSpaceDE w:val="0"/>
              <w:autoSpaceDN w:val="0"/>
              <w:bidi w:val="0"/>
              <w:adjustRightInd w:val="0"/>
              <w:snapToGrid w:val="0"/>
              <w:spacing w:line="560" w:lineRule="exact"/>
              <w:ind w:firstLine="0" w:firstLineChars="0"/>
              <w:jc w:val="center"/>
              <w:textAlignment w:val="baseline"/>
              <w:rPr>
                <w:rFonts w:ascii="仿宋_GB2312" w:hAnsi="仿宋_GB2312" w:eastAsia="仿宋_GB2312" w:cs="仿宋_GB2312"/>
                <w:spacing w:val="-4"/>
                <w:sz w:val="24"/>
                <w:szCs w:val="24"/>
                <w:lang w:eastAsia="zh-CN"/>
              </w:rPr>
            </w:pPr>
            <w:r>
              <w:rPr>
                <w:rFonts w:hint="eastAsia" w:ascii="仿宋_GB2312" w:hAnsi="仿宋_GB2312" w:eastAsia="仿宋_GB2312" w:cs="仿宋_GB2312"/>
                <w:spacing w:val="-4"/>
                <w:sz w:val="24"/>
                <w:szCs w:val="24"/>
                <w:lang w:eastAsia="zh-CN"/>
              </w:rPr>
              <w:t>——</w:t>
            </w:r>
          </w:p>
        </w:tc>
        <w:tc>
          <w:tcPr>
            <w:tcW w:w="965" w:type="dxa"/>
            <w:vAlign w:val="center"/>
          </w:tcPr>
          <w:p w14:paraId="11B4B809">
            <w:pPr>
              <w:pStyle w:val="27"/>
              <w:keepNext w:val="0"/>
              <w:keepLines w:val="0"/>
              <w:pageBreakBefore w:val="0"/>
              <w:kinsoku w:val="0"/>
              <w:wordWrap/>
              <w:topLinePunct w:val="0"/>
              <w:autoSpaceDE w:val="0"/>
              <w:autoSpaceDN w:val="0"/>
              <w:bidi w:val="0"/>
              <w:adjustRightInd w:val="0"/>
              <w:snapToGrid w:val="0"/>
              <w:spacing w:line="560" w:lineRule="exact"/>
              <w:ind w:firstLine="0" w:firstLineChars="0"/>
              <w:jc w:val="center"/>
              <w:textAlignment w:val="baseline"/>
              <w:rPr>
                <w:rFonts w:ascii="仿宋_GB2312" w:hAnsi="仿宋_GB2312" w:eastAsia="仿宋_GB2312" w:cs="仿宋_GB2312"/>
                <w:spacing w:val="-4"/>
                <w:sz w:val="24"/>
                <w:szCs w:val="24"/>
                <w:lang w:eastAsia="zh-CN"/>
              </w:rPr>
            </w:pPr>
            <w:r>
              <w:rPr>
                <w:rFonts w:hint="eastAsia" w:ascii="仿宋_GB2312" w:hAnsi="仿宋_GB2312" w:eastAsia="仿宋_GB2312" w:cs="仿宋_GB2312"/>
                <w:spacing w:val="-4"/>
                <w:sz w:val="24"/>
                <w:szCs w:val="24"/>
                <w:lang w:eastAsia="zh-CN"/>
              </w:rPr>
              <w:t>约束性</w:t>
            </w:r>
          </w:p>
        </w:tc>
      </w:tr>
      <w:tr w14:paraId="3C32B3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29" w:type="dxa"/>
            <w:vMerge w:val="restart"/>
            <w:vAlign w:val="center"/>
          </w:tcPr>
          <w:p w14:paraId="44EC6394">
            <w:pPr>
              <w:keepNext w:val="0"/>
              <w:keepLines w:val="0"/>
              <w:pageBreakBefore w:val="0"/>
              <w:wordWrap/>
              <w:topLinePunct w:val="0"/>
              <w:bidi w:val="0"/>
              <w:spacing w:line="560" w:lineRule="exact"/>
              <w:ind w:firstLine="0" w:firstLineChars="0"/>
              <w:jc w:val="center"/>
              <w:rPr>
                <w:spacing w:val="-4"/>
                <w:sz w:val="24"/>
                <w:szCs w:val="24"/>
              </w:rPr>
            </w:pPr>
            <w:r>
              <w:rPr>
                <w:rFonts w:hint="eastAsia"/>
                <w:sz w:val="24"/>
                <w:szCs w:val="24"/>
              </w:rPr>
              <w:t>安全保障</w:t>
            </w:r>
          </w:p>
        </w:tc>
        <w:tc>
          <w:tcPr>
            <w:tcW w:w="465" w:type="dxa"/>
            <w:vAlign w:val="center"/>
          </w:tcPr>
          <w:p w14:paraId="7BACB390">
            <w:pPr>
              <w:keepNext w:val="0"/>
              <w:keepLines w:val="0"/>
              <w:pageBreakBefore w:val="0"/>
              <w:wordWrap/>
              <w:topLinePunct w:val="0"/>
              <w:bidi w:val="0"/>
              <w:spacing w:line="560" w:lineRule="exact"/>
              <w:ind w:firstLine="0" w:firstLineChars="0"/>
              <w:jc w:val="center"/>
              <w:rPr>
                <w:spacing w:val="-4"/>
                <w:sz w:val="24"/>
                <w:szCs w:val="24"/>
              </w:rPr>
            </w:pPr>
            <w:r>
              <w:rPr>
                <w:rFonts w:hint="eastAsia"/>
                <w:sz w:val="24"/>
                <w:szCs w:val="24"/>
              </w:rPr>
              <w:t>13</w:t>
            </w:r>
          </w:p>
        </w:tc>
        <w:tc>
          <w:tcPr>
            <w:tcW w:w="2700" w:type="dxa"/>
            <w:vAlign w:val="center"/>
          </w:tcPr>
          <w:p w14:paraId="432AA698">
            <w:pPr>
              <w:pStyle w:val="27"/>
              <w:keepNext w:val="0"/>
              <w:keepLines w:val="0"/>
              <w:pageBreakBefore w:val="0"/>
              <w:kinsoku w:val="0"/>
              <w:wordWrap/>
              <w:topLinePunct w:val="0"/>
              <w:autoSpaceDE w:val="0"/>
              <w:autoSpaceDN w:val="0"/>
              <w:bidi w:val="0"/>
              <w:adjustRightInd w:val="0"/>
              <w:snapToGrid w:val="0"/>
              <w:spacing w:line="560" w:lineRule="exact"/>
              <w:ind w:firstLine="0" w:firstLineChars="0"/>
              <w:jc w:val="center"/>
              <w:textAlignment w:val="baseline"/>
              <w:rPr>
                <w:rFonts w:ascii="仿宋_GB2312" w:hAnsi="仿宋_GB2312" w:eastAsia="仿宋_GB2312" w:cs="仿宋_GB2312"/>
                <w:spacing w:val="-4"/>
                <w:sz w:val="24"/>
                <w:szCs w:val="24"/>
                <w:lang w:eastAsia="zh-CN"/>
              </w:rPr>
            </w:pPr>
            <w:r>
              <w:rPr>
                <w:rFonts w:hint="eastAsia" w:ascii="仿宋_GB2312" w:hAnsi="仿宋_GB2312" w:eastAsia="仿宋_GB2312" w:cs="仿宋_GB2312"/>
                <w:spacing w:val="-4"/>
                <w:sz w:val="24"/>
                <w:szCs w:val="24"/>
                <w:lang w:eastAsia="zh-CN"/>
              </w:rPr>
              <w:t>粮食综合生产能力</w:t>
            </w:r>
          </w:p>
        </w:tc>
        <w:tc>
          <w:tcPr>
            <w:tcW w:w="885" w:type="dxa"/>
            <w:vAlign w:val="center"/>
          </w:tcPr>
          <w:p w14:paraId="109C0543">
            <w:pPr>
              <w:pStyle w:val="27"/>
              <w:keepNext w:val="0"/>
              <w:keepLines w:val="0"/>
              <w:pageBreakBefore w:val="0"/>
              <w:kinsoku w:val="0"/>
              <w:wordWrap/>
              <w:topLinePunct w:val="0"/>
              <w:autoSpaceDE w:val="0"/>
              <w:autoSpaceDN w:val="0"/>
              <w:bidi w:val="0"/>
              <w:adjustRightInd w:val="0"/>
              <w:snapToGrid w:val="0"/>
              <w:spacing w:line="560" w:lineRule="exact"/>
              <w:ind w:firstLine="0" w:firstLineChars="0"/>
              <w:jc w:val="center"/>
              <w:textAlignment w:val="baseline"/>
              <w:rPr>
                <w:rFonts w:ascii="仿宋_GB2312" w:hAnsi="仿宋_GB2312" w:eastAsia="仿宋_GB2312" w:cs="仿宋_GB2312"/>
                <w:spacing w:val="-4"/>
                <w:sz w:val="24"/>
                <w:szCs w:val="24"/>
                <w:lang w:eastAsia="zh-CN"/>
              </w:rPr>
            </w:pPr>
            <w:r>
              <w:rPr>
                <w:rFonts w:hint="eastAsia" w:ascii="仿宋_GB2312" w:hAnsi="仿宋_GB2312" w:eastAsia="仿宋_GB2312" w:cs="仿宋_GB2312"/>
                <w:spacing w:val="-4"/>
                <w:sz w:val="24"/>
                <w:szCs w:val="24"/>
                <w:lang w:eastAsia="zh-CN"/>
              </w:rPr>
              <w:t>万吨</w:t>
            </w:r>
          </w:p>
        </w:tc>
        <w:tc>
          <w:tcPr>
            <w:tcW w:w="1140" w:type="dxa"/>
            <w:vAlign w:val="center"/>
          </w:tcPr>
          <w:p w14:paraId="232EC860">
            <w:pPr>
              <w:pStyle w:val="27"/>
              <w:keepNext w:val="0"/>
              <w:keepLines w:val="0"/>
              <w:pageBreakBefore w:val="0"/>
              <w:kinsoku w:val="0"/>
              <w:wordWrap/>
              <w:topLinePunct w:val="0"/>
              <w:autoSpaceDE w:val="0"/>
              <w:autoSpaceDN w:val="0"/>
              <w:bidi w:val="0"/>
              <w:adjustRightInd w:val="0"/>
              <w:snapToGrid w:val="0"/>
              <w:spacing w:line="560" w:lineRule="exact"/>
              <w:ind w:firstLine="0" w:firstLineChars="0"/>
              <w:jc w:val="center"/>
              <w:textAlignment w:val="baseline"/>
              <w:rPr>
                <w:rFonts w:ascii="仿宋_GB2312" w:hAnsi="仿宋_GB2312" w:eastAsia="仿宋_GB2312" w:cs="仿宋_GB2312"/>
                <w:spacing w:val="-4"/>
                <w:sz w:val="24"/>
                <w:szCs w:val="24"/>
                <w:lang w:eastAsia="zh-CN"/>
              </w:rPr>
            </w:pPr>
            <w:r>
              <w:rPr>
                <w:rFonts w:hint="eastAsia" w:ascii="仿宋_GB2312" w:hAnsi="仿宋_GB2312" w:eastAsia="仿宋_GB2312" w:cs="仿宋_GB2312"/>
                <w:spacing w:val="-4"/>
                <w:sz w:val="24"/>
                <w:szCs w:val="24"/>
                <w:lang w:eastAsia="zh-CN"/>
              </w:rPr>
              <w:t>27.2</w:t>
            </w:r>
          </w:p>
        </w:tc>
        <w:tc>
          <w:tcPr>
            <w:tcW w:w="1170" w:type="dxa"/>
            <w:vAlign w:val="center"/>
          </w:tcPr>
          <w:p w14:paraId="077E6FCB">
            <w:pPr>
              <w:pStyle w:val="27"/>
              <w:keepNext w:val="0"/>
              <w:keepLines w:val="0"/>
              <w:pageBreakBefore w:val="0"/>
              <w:kinsoku w:val="0"/>
              <w:wordWrap/>
              <w:topLinePunct w:val="0"/>
              <w:autoSpaceDE w:val="0"/>
              <w:autoSpaceDN w:val="0"/>
              <w:bidi w:val="0"/>
              <w:adjustRightInd w:val="0"/>
              <w:snapToGrid w:val="0"/>
              <w:spacing w:line="560" w:lineRule="exact"/>
              <w:ind w:firstLine="0" w:firstLineChars="0"/>
              <w:jc w:val="center"/>
              <w:textAlignment w:val="baseline"/>
              <w:rPr>
                <w:rFonts w:ascii="仿宋_GB2312" w:hAnsi="仿宋_GB2312" w:eastAsia="仿宋_GB2312" w:cs="仿宋_GB2312"/>
                <w:spacing w:val="-4"/>
                <w:sz w:val="24"/>
                <w:szCs w:val="24"/>
                <w:lang w:eastAsia="zh-CN"/>
              </w:rPr>
            </w:pPr>
            <w:r>
              <w:rPr>
                <w:rFonts w:hint="eastAsia" w:ascii="仿宋_GB2312" w:hAnsi="仿宋_GB2312" w:eastAsia="仿宋_GB2312" w:cs="仿宋_GB2312"/>
                <w:spacing w:val="-4"/>
                <w:sz w:val="24"/>
                <w:szCs w:val="24"/>
                <w:lang w:eastAsia="zh-CN"/>
              </w:rPr>
              <w:t>完成市下达任务</w:t>
            </w:r>
          </w:p>
        </w:tc>
        <w:tc>
          <w:tcPr>
            <w:tcW w:w="1410" w:type="dxa"/>
            <w:vAlign w:val="center"/>
          </w:tcPr>
          <w:p w14:paraId="634A3C27">
            <w:pPr>
              <w:pStyle w:val="27"/>
              <w:keepNext w:val="0"/>
              <w:keepLines w:val="0"/>
              <w:pageBreakBefore w:val="0"/>
              <w:kinsoku w:val="0"/>
              <w:wordWrap/>
              <w:topLinePunct w:val="0"/>
              <w:autoSpaceDE w:val="0"/>
              <w:autoSpaceDN w:val="0"/>
              <w:bidi w:val="0"/>
              <w:adjustRightInd w:val="0"/>
              <w:snapToGrid w:val="0"/>
              <w:spacing w:line="560" w:lineRule="exact"/>
              <w:ind w:firstLine="0" w:firstLineChars="0"/>
              <w:jc w:val="center"/>
              <w:textAlignment w:val="baseline"/>
              <w:rPr>
                <w:rFonts w:ascii="仿宋_GB2312" w:hAnsi="仿宋_GB2312" w:eastAsia="仿宋_GB2312" w:cs="仿宋_GB2312"/>
                <w:spacing w:val="-4"/>
                <w:sz w:val="24"/>
                <w:szCs w:val="24"/>
                <w:lang w:eastAsia="zh-CN"/>
              </w:rPr>
            </w:pPr>
            <w:r>
              <w:rPr>
                <w:rFonts w:hint="eastAsia" w:ascii="仿宋_GB2312" w:hAnsi="仿宋_GB2312" w:eastAsia="仿宋_GB2312" w:cs="仿宋_GB2312"/>
                <w:spacing w:val="-4"/>
                <w:sz w:val="24"/>
                <w:szCs w:val="24"/>
                <w:lang w:eastAsia="zh-CN"/>
              </w:rPr>
              <w:t>完成市下达任务</w:t>
            </w:r>
          </w:p>
        </w:tc>
        <w:tc>
          <w:tcPr>
            <w:tcW w:w="965" w:type="dxa"/>
            <w:vAlign w:val="center"/>
          </w:tcPr>
          <w:p w14:paraId="42F59CE9">
            <w:pPr>
              <w:pStyle w:val="27"/>
              <w:keepNext w:val="0"/>
              <w:keepLines w:val="0"/>
              <w:pageBreakBefore w:val="0"/>
              <w:kinsoku w:val="0"/>
              <w:wordWrap/>
              <w:topLinePunct w:val="0"/>
              <w:autoSpaceDE w:val="0"/>
              <w:autoSpaceDN w:val="0"/>
              <w:bidi w:val="0"/>
              <w:adjustRightInd w:val="0"/>
              <w:snapToGrid w:val="0"/>
              <w:spacing w:line="560" w:lineRule="exact"/>
              <w:ind w:firstLine="0" w:firstLineChars="0"/>
              <w:jc w:val="center"/>
              <w:textAlignment w:val="baseline"/>
              <w:rPr>
                <w:rFonts w:ascii="仿宋_GB2312" w:hAnsi="仿宋_GB2312" w:eastAsia="仿宋_GB2312" w:cs="仿宋_GB2312"/>
                <w:spacing w:val="-4"/>
                <w:sz w:val="24"/>
                <w:szCs w:val="24"/>
                <w:lang w:eastAsia="zh-CN"/>
              </w:rPr>
            </w:pPr>
            <w:r>
              <w:rPr>
                <w:rFonts w:hint="eastAsia" w:ascii="仿宋_GB2312" w:hAnsi="仿宋_GB2312" w:eastAsia="仿宋_GB2312" w:cs="仿宋_GB2312"/>
                <w:spacing w:val="-4"/>
                <w:sz w:val="24"/>
                <w:szCs w:val="24"/>
                <w:lang w:eastAsia="zh-CN"/>
              </w:rPr>
              <w:t>约束性</w:t>
            </w:r>
          </w:p>
        </w:tc>
      </w:tr>
      <w:tr w14:paraId="5AAF75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29" w:type="dxa"/>
            <w:vMerge w:val="continue"/>
            <w:vAlign w:val="center"/>
          </w:tcPr>
          <w:p w14:paraId="33BE0A87">
            <w:pPr>
              <w:keepNext w:val="0"/>
              <w:keepLines w:val="0"/>
              <w:pageBreakBefore w:val="0"/>
              <w:wordWrap/>
              <w:topLinePunct w:val="0"/>
              <w:bidi w:val="0"/>
              <w:spacing w:line="560" w:lineRule="exact"/>
              <w:ind w:firstLine="0" w:firstLineChars="0"/>
              <w:jc w:val="center"/>
              <w:rPr>
                <w:spacing w:val="-4"/>
                <w:sz w:val="24"/>
                <w:szCs w:val="24"/>
              </w:rPr>
            </w:pPr>
          </w:p>
        </w:tc>
        <w:tc>
          <w:tcPr>
            <w:tcW w:w="465" w:type="dxa"/>
            <w:vAlign w:val="center"/>
          </w:tcPr>
          <w:p w14:paraId="1C265F38">
            <w:pPr>
              <w:keepNext w:val="0"/>
              <w:keepLines w:val="0"/>
              <w:pageBreakBefore w:val="0"/>
              <w:wordWrap/>
              <w:topLinePunct w:val="0"/>
              <w:bidi w:val="0"/>
              <w:spacing w:line="560" w:lineRule="exact"/>
              <w:ind w:firstLine="0" w:firstLineChars="0"/>
              <w:jc w:val="center"/>
              <w:rPr>
                <w:spacing w:val="-4"/>
                <w:sz w:val="24"/>
                <w:szCs w:val="24"/>
              </w:rPr>
            </w:pPr>
            <w:r>
              <w:rPr>
                <w:rFonts w:hint="eastAsia"/>
                <w:sz w:val="24"/>
                <w:szCs w:val="24"/>
              </w:rPr>
              <w:t>14</w:t>
            </w:r>
          </w:p>
        </w:tc>
        <w:tc>
          <w:tcPr>
            <w:tcW w:w="2700" w:type="dxa"/>
            <w:vAlign w:val="center"/>
          </w:tcPr>
          <w:p w14:paraId="6187CCC4">
            <w:pPr>
              <w:pStyle w:val="27"/>
              <w:keepNext w:val="0"/>
              <w:keepLines w:val="0"/>
              <w:pageBreakBefore w:val="0"/>
              <w:kinsoku w:val="0"/>
              <w:wordWrap/>
              <w:topLinePunct w:val="0"/>
              <w:autoSpaceDE w:val="0"/>
              <w:autoSpaceDN w:val="0"/>
              <w:bidi w:val="0"/>
              <w:adjustRightInd w:val="0"/>
              <w:snapToGrid w:val="0"/>
              <w:spacing w:line="560" w:lineRule="exact"/>
              <w:ind w:firstLine="0" w:firstLineChars="0"/>
              <w:jc w:val="center"/>
              <w:textAlignment w:val="baseline"/>
              <w:rPr>
                <w:rFonts w:ascii="仿宋_GB2312" w:hAnsi="仿宋_GB2312" w:eastAsia="仿宋_GB2312" w:cs="仿宋_GB2312"/>
                <w:spacing w:val="-4"/>
                <w:sz w:val="24"/>
                <w:szCs w:val="24"/>
                <w:lang w:eastAsia="zh-CN"/>
              </w:rPr>
            </w:pPr>
            <w:r>
              <w:rPr>
                <w:rFonts w:hint="eastAsia" w:ascii="仿宋_GB2312" w:hAnsi="仿宋_GB2312" w:eastAsia="仿宋_GB2312" w:cs="仿宋_GB2312"/>
                <w:spacing w:val="-4"/>
                <w:sz w:val="24"/>
                <w:szCs w:val="24"/>
                <w:lang w:eastAsia="zh-CN"/>
              </w:rPr>
              <w:t>能源综合生产能力</w:t>
            </w:r>
          </w:p>
        </w:tc>
        <w:tc>
          <w:tcPr>
            <w:tcW w:w="885" w:type="dxa"/>
            <w:vAlign w:val="center"/>
          </w:tcPr>
          <w:p w14:paraId="4E8E921D">
            <w:pPr>
              <w:pStyle w:val="27"/>
              <w:keepNext w:val="0"/>
              <w:keepLines w:val="0"/>
              <w:pageBreakBefore w:val="0"/>
              <w:kinsoku w:val="0"/>
              <w:wordWrap/>
              <w:topLinePunct w:val="0"/>
              <w:autoSpaceDE w:val="0"/>
              <w:autoSpaceDN w:val="0"/>
              <w:bidi w:val="0"/>
              <w:adjustRightInd w:val="0"/>
              <w:snapToGrid w:val="0"/>
              <w:spacing w:line="560" w:lineRule="exact"/>
              <w:ind w:firstLine="0" w:firstLineChars="0"/>
              <w:jc w:val="center"/>
              <w:textAlignment w:val="baseline"/>
              <w:rPr>
                <w:rFonts w:ascii="仿宋_GB2312" w:hAnsi="仿宋_GB2312" w:eastAsia="仿宋_GB2312" w:cs="仿宋_GB2312"/>
                <w:spacing w:val="-4"/>
                <w:sz w:val="24"/>
                <w:szCs w:val="24"/>
                <w:lang w:eastAsia="zh-CN"/>
              </w:rPr>
            </w:pPr>
            <w:r>
              <w:rPr>
                <w:rFonts w:hint="eastAsia" w:ascii="仿宋_GB2312" w:hAnsi="仿宋_GB2312" w:eastAsia="仿宋_GB2312" w:cs="仿宋_GB2312"/>
                <w:spacing w:val="-4"/>
                <w:sz w:val="24"/>
                <w:szCs w:val="24"/>
                <w:lang w:eastAsia="zh-CN"/>
              </w:rPr>
              <w:t>万吨标准煤</w:t>
            </w:r>
          </w:p>
        </w:tc>
        <w:tc>
          <w:tcPr>
            <w:tcW w:w="1140" w:type="dxa"/>
            <w:vAlign w:val="center"/>
          </w:tcPr>
          <w:p w14:paraId="6B8354F2">
            <w:pPr>
              <w:pStyle w:val="27"/>
              <w:keepNext w:val="0"/>
              <w:keepLines w:val="0"/>
              <w:pageBreakBefore w:val="0"/>
              <w:kinsoku w:val="0"/>
              <w:wordWrap/>
              <w:topLinePunct w:val="0"/>
              <w:autoSpaceDE w:val="0"/>
              <w:autoSpaceDN w:val="0"/>
              <w:bidi w:val="0"/>
              <w:adjustRightInd w:val="0"/>
              <w:snapToGrid w:val="0"/>
              <w:spacing w:line="560" w:lineRule="exact"/>
              <w:ind w:firstLine="0" w:firstLineChars="0"/>
              <w:jc w:val="center"/>
              <w:textAlignment w:val="baseline"/>
              <w:rPr>
                <w:rFonts w:ascii="仿宋_GB2312" w:hAnsi="仿宋_GB2312" w:eastAsia="仿宋_GB2312" w:cs="仿宋_GB2312"/>
                <w:spacing w:val="-4"/>
                <w:sz w:val="24"/>
                <w:szCs w:val="24"/>
                <w:lang w:eastAsia="zh-CN"/>
              </w:rPr>
            </w:pPr>
            <w:r>
              <w:rPr>
                <w:rFonts w:hint="eastAsia" w:ascii="仿宋_GB2312" w:hAnsi="仿宋_GB2312" w:eastAsia="仿宋_GB2312" w:cs="仿宋_GB2312"/>
                <w:spacing w:val="-4"/>
                <w:sz w:val="24"/>
                <w:szCs w:val="24"/>
                <w:lang w:eastAsia="zh-CN"/>
              </w:rPr>
              <w:t>22.8</w:t>
            </w:r>
          </w:p>
        </w:tc>
        <w:tc>
          <w:tcPr>
            <w:tcW w:w="1170" w:type="dxa"/>
            <w:vAlign w:val="center"/>
          </w:tcPr>
          <w:p w14:paraId="4F1D2919">
            <w:pPr>
              <w:pStyle w:val="27"/>
              <w:keepNext w:val="0"/>
              <w:keepLines w:val="0"/>
              <w:pageBreakBefore w:val="0"/>
              <w:kinsoku w:val="0"/>
              <w:wordWrap/>
              <w:topLinePunct w:val="0"/>
              <w:autoSpaceDE w:val="0"/>
              <w:autoSpaceDN w:val="0"/>
              <w:bidi w:val="0"/>
              <w:adjustRightInd w:val="0"/>
              <w:snapToGrid w:val="0"/>
              <w:spacing w:line="560" w:lineRule="exact"/>
              <w:ind w:firstLine="0" w:firstLineChars="0"/>
              <w:jc w:val="center"/>
              <w:textAlignment w:val="baseline"/>
              <w:rPr>
                <w:rFonts w:ascii="仿宋_GB2312" w:hAnsi="仿宋_GB2312" w:eastAsia="仿宋_GB2312" w:cs="仿宋_GB2312"/>
                <w:spacing w:val="-4"/>
                <w:sz w:val="24"/>
                <w:szCs w:val="24"/>
                <w:lang w:eastAsia="zh-CN"/>
              </w:rPr>
            </w:pPr>
            <w:r>
              <w:rPr>
                <w:rFonts w:hint="eastAsia" w:ascii="仿宋_GB2312" w:hAnsi="仿宋_GB2312" w:eastAsia="仿宋_GB2312" w:cs="仿宋_GB2312"/>
                <w:spacing w:val="-4"/>
                <w:sz w:val="24"/>
                <w:szCs w:val="24"/>
                <w:lang w:eastAsia="zh-CN"/>
              </w:rPr>
              <w:t>69.8</w:t>
            </w:r>
          </w:p>
        </w:tc>
        <w:tc>
          <w:tcPr>
            <w:tcW w:w="1410" w:type="dxa"/>
            <w:vAlign w:val="center"/>
          </w:tcPr>
          <w:p w14:paraId="66E7EC77">
            <w:pPr>
              <w:pStyle w:val="27"/>
              <w:keepNext w:val="0"/>
              <w:keepLines w:val="0"/>
              <w:pageBreakBefore w:val="0"/>
              <w:kinsoku w:val="0"/>
              <w:wordWrap/>
              <w:topLinePunct w:val="0"/>
              <w:autoSpaceDE w:val="0"/>
              <w:autoSpaceDN w:val="0"/>
              <w:bidi w:val="0"/>
              <w:adjustRightInd w:val="0"/>
              <w:snapToGrid w:val="0"/>
              <w:spacing w:line="560" w:lineRule="exact"/>
              <w:ind w:firstLine="0" w:firstLineChars="0"/>
              <w:jc w:val="center"/>
              <w:textAlignment w:val="baseline"/>
              <w:rPr>
                <w:rFonts w:ascii="仿宋_GB2312" w:hAnsi="仿宋_GB2312" w:eastAsia="仿宋_GB2312" w:cs="仿宋_GB2312"/>
                <w:spacing w:val="-4"/>
                <w:sz w:val="24"/>
                <w:szCs w:val="24"/>
                <w:lang w:eastAsia="zh-CN"/>
              </w:rPr>
            </w:pPr>
            <w:r>
              <w:rPr>
                <w:rFonts w:hint="eastAsia" w:ascii="仿宋_GB2312" w:hAnsi="仿宋_GB2312" w:eastAsia="仿宋_GB2312" w:cs="仿宋_GB2312"/>
                <w:spacing w:val="-4"/>
                <w:sz w:val="24"/>
                <w:szCs w:val="24"/>
                <w:lang w:eastAsia="zh-CN"/>
              </w:rPr>
              <w:t>[344]</w:t>
            </w:r>
          </w:p>
        </w:tc>
        <w:tc>
          <w:tcPr>
            <w:tcW w:w="965" w:type="dxa"/>
            <w:vAlign w:val="center"/>
          </w:tcPr>
          <w:p w14:paraId="374CDFA3">
            <w:pPr>
              <w:pStyle w:val="27"/>
              <w:keepNext w:val="0"/>
              <w:keepLines w:val="0"/>
              <w:pageBreakBefore w:val="0"/>
              <w:kinsoku w:val="0"/>
              <w:wordWrap/>
              <w:topLinePunct w:val="0"/>
              <w:autoSpaceDE w:val="0"/>
              <w:autoSpaceDN w:val="0"/>
              <w:bidi w:val="0"/>
              <w:adjustRightInd w:val="0"/>
              <w:snapToGrid w:val="0"/>
              <w:spacing w:line="560" w:lineRule="exact"/>
              <w:ind w:firstLine="0" w:firstLineChars="0"/>
              <w:jc w:val="center"/>
              <w:textAlignment w:val="baseline"/>
              <w:rPr>
                <w:rFonts w:ascii="仿宋_GB2312" w:hAnsi="仿宋_GB2312" w:eastAsia="仿宋_GB2312" w:cs="仿宋_GB2312"/>
                <w:spacing w:val="-4"/>
                <w:sz w:val="24"/>
                <w:szCs w:val="24"/>
                <w:lang w:eastAsia="zh-CN"/>
              </w:rPr>
            </w:pPr>
            <w:r>
              <w:rPr>
                <w:rFonts w:hint="eastAsia" w:ascii="仿宋_GB2312" w:hAnsi="仿宋_GB2312" w:eastAsia="仿宋_GB2312" w:cs="仿宋_GB2312"/>
                <w:spacing w:val="-4"/>
                <w:sz w:val="24"/>
                <w:szCs w:val="24"/>
                <w:lang w:eastAsia="zh-CN"/>
              </w:rPr>
              <w:t>约束性</w:t>
            </w:r>
          </w:p>
        </w:tc>
      </w:tr>
    </w:tbl>
    <w:p w14:paraId="76CE8116">
      <w:pPr>
        <w:keepNext w:val="0"/>
        <w:keepLines w:val="0"/>
        <w:pageBreakBefore w:val="0"/>
        <w:wordWrap/>
        <w:topLinePunct w:val="0"/>
        <w:bidi w:val="0"/>
        <w:spacing w:line="560" w:lineRule="exact"/>
        <w:ind w:firstLine="0" w:firstLineChars="0"/>
        <w:jc w:val="left"/>
        <w:rPr>
          <w:rFonts w:ascii="国标楷体-GB/T 2312" w:hAnsi="国标楷体-GB/T 2312" w:eastAsia="国标楷体-GB/T 2312" w:cs="国标楷体-GB/T 2312"/>
          <w:sz w:val="24"/>
          <w:szCs w:val="24"/>
        </w:rPr>
      </w:pPr>
      <w:r>
        <w:rPr>
          <w:rFonts w:hint="eastAsia" w:ascii="国标楷体-GB/T 2312" w:hAnsi="国标楷体-GB/T 2312" w:eastAsia="国标楷体-GB/T 2312" w:cs="国标楷体-GB/T 2312"/>
          <w:sz w:val="24"/>
          <w:szCs w:val="24"/>
        </w:rPr>
        <w:t>注：①“[]”内为5年累计数。②标“*”为2024年数据。</w:t>
      </w:r>
    </w:p>
    <w:p w14:paraId="76A4AB1D">
      <w:pPr>
        <w:keepNext w:val="0"/>
        <w:keepLines w:val="0"/>
        <w:pageBreakBefore w:val="0"/>
        <w:wordWrap/>
        <w:topLinePunct w:val="0"/>
        <w:bidi w:val="0"/>
        <w:spacing w:line="560" w:lineRule="exact"/>
        <w:ind w:firstLine="480"/>
        <w:rPr>
          <w:rFonts w:ascii="国标楷体-GB/T 2312" w:hAnsi="国标楷体-GB/T 2312" w:eastAsia="国标楷体-GB/T 2312" w:cs="国标楷体-GB/T 2312"/>
          <w:sz w:val="24"/>
          <w:szCs w:val="24"/>
        </w:rPr>
      </w:pPr>
      <w:r>
        <w:rPr>
          <w:rFonts w:ascii="国标楷体-GB/T 2312" w:hAnsi="国标楷体-GB/T 2312" w:eastAsia="国标楷体-GB/T 2312" w:cs="国标楷体-GB/T 2312"/>
          <w:sz w:val="24"/>
          <w:szCs w:val="24"/>
        </w:rPr>
        <w:br w:type="page"/>
      </w:r>
    </w:p>
    <w:p w14:paraId="0F3040BE">
      <w:pPr>
        <w:pStyle w:val="2"/>
        <w:keepNext w:val="0"/>
        <w:keepLines w:val="0"/>
        <w:pageBreakBefore w:val="0"/>
        <w:wordWrap/>
        <w:topLinePunct w:val="0"/>
        <w:bidi w:val="0"/>
        <w:spacing w:line="560" w:lineRule="exact"/>
      </w:pPr>
      <w:bookmarkStart w:id="26" w:name="_Toc233272358"/>
      <w:bookmarkStart w:id="27" w:name="_Toc130280326"/>
      <w:bookmarkStart w:id="28" w:name="_Toc1456613547"/>
      <w:r>
        <w:rPr>
          <w:rFonts w:hint="eastAsia"/>
        </w:rPr>
        <w:t>兴业篇</w:t>
      </w:r>
      <w:bookmarkEnd w:id="26"/>
    </w:p>
    <w:p w14:paraId="2EB843EB">
      <w:pPr>
        <w:pStyle w:val="3"/>
        <w:keepNext w:val="0"/>
        <w:keepLines w:val="0"/>
        <w:pageBreakBefore w:val="0"/>
        <w:wordWrap/>
        <w:topLinePunct w:val="0"/>
        <w:bidi w:val="0"/>
        <w:spacing w:line="560" w:lineRule="exact"/>
      </w:pPr>
      <w:bookmarkStart w:id="29" w:name="_Toc651938467"/>
      <w:bookmarkStart w:id="30" w:name="_Toc233272359"/>
      <w:bookmarkStart w:id="31" w:name="_Toc928058230"/>
      <w:bookmarkStart w:id="32" w:name="_Toc1177300161"/>
      <w:r>
        <w:rPr>
          <w:rFonts w:hint="eastAsia"/>
        </w:rPr>
        <w:t>第二章 加快构建现代化产业体系，筑牢实体经济根基</w:t>
      </w:r>
      <w:bookmarkEnd w:id="29"/>
      <w:bookmarkEnd w:id="30"/>
      <w:bookmarkEnd w:id="31"/>
      <w:bookmarkEnd w:id="32"/>
    </w:p>
    <w:p w14:paraId="668F35E4">
      <w:pPr>
        <w:keepNext w:val="0"/>
        <w:keepLines w:val="0"/>
        <w:pageBreakBefore w:val="0"/>
        <w:wordWrap/>
        <w:topLinePunct w:val="0"/>
        <w:bidi w:val="0"/>
        <w:spacing w:line="560" w:lineRule="exact"/>
        <w:ind w:firstLine="480"/>
        <w:jc w:val="center"/>
        <w:rPr>
          <w:sz w:val="24"/>
          <w:szCs w:val="24"/>
        </w:rPr>
      </w:pPr>
    </w:p>
    <w:p w14:paraId="452B7512">
      <w:pPr>
        <w:keepNext w:val="0"/>
        <w:keepLines w:val="0"/>
        <w:pageBreakBefore w:val="0"/>
        <w:wordWrap/>
        <w:topLinePunct w:val="0"/>
        <w:bidi w:val="0"/>
        <w:spacing w:line="560" w:lineRule="exact"/>
        <w:ind w:firstLine="640"/>
        <w:jc w:val="left"/>
        <w:rPr>
          <w:rFonts w:ascii="国标黑体" w:hAnsi="国标黑体" w:eastAsia="国标黑体" w:cs="国标黑体"/>
        </w:rPr>
      </w:pPr>
      <w:r>
        <w:rPr>
          <w:rFonts w:hint="eastAsia"/>
        </w:rPr>
        <w:t>深入实施工业强区战略，以智能化、绿色化、融合化为方向，进一步优化产业空间布局，做强做大做优“3+2”主导产业，培育发展新兴产业，提升传统产业，推动服务业提质增效，巩固壮大实体经济根基，着力构建“科创引领、智造支撑、特色彰显、生态协同”的现代产业体系，力争通过5年的努力，将长清打造成为“科教产融合创新高地”和“济南都市圈创新发展重要支撑点”，建成动能强劲、特色鲜明的现代化产业强区。</w:t>
      </w:r>
    </w:p>
    <w:p w14:paraId="6A2F06F4">
      <w:pPr>
        <w:pStyle w:val="4"/>
        <w:keepNext w:val="0"/>
        <w:keepLines w:val="0"/>
        <w:pageBreakBefore w:val="0"/>
        <w:wordWrap/>
        <w:topLinePunct w:val="0"/>
        <w:bidi w:val="0"/>
        <w:spacing w:line="560" w:lineRule="exact"/>
      </w:pPr>
      <w:bookmarkStart w:id="33" w:name="_Toc134750848"/>
      <w:bookmarkStart w:id="34" w:name="_Toc233272360"/>
      <w:bookmarkStart w:id="35" w:name="_Toc245964028"/>
      <w:r>
        <w:rPr>
          <w:rFonts w:hint="eastAsia"/>
        </w:rPr>
        <w:t>第一节 优化产业空间布局</w:t>
      </w:r>
      <w:bookmarkEnd w:id="33"/>
      <w:bookmarkEnd w:id="34"/>
      <w:bookmarkEnd w:id="35"/>
    </w:p>
    <w:p w14:paraId="2C24665A">
      <w:pPr>
        <w:keepNext w:val="0"/>
        <w:keepLines w:val="0"/>
        <w:pageBreakBefore w:val="0"/>
        <w:wordWrap/>
        <w:topLinePunct w:val="0"/>
        <w:bidi w:val="0"/>
        <w:spacing w:line="560" w:lineRule="exact"/>
        <w:ind w:firstLine="640"/>
      </w:pPr>
      <w:r>
        <w:rPr>
          <w:rFonts w:hint="eastAsia"/>
        </w:rPr>
        <w:t>聚焦全区产业发展方向，明确核心原则，科学谋划产业空间布局。</w:t>
      </w:r>
    </w:p>
    <w:p w14:paraId="3378005D">
      <w:pPr>
        <w:keepNext w:val="0"/>
        <w:keepLines w:val="0"/>
        <w:pageBreakBefore w:val="0"/>
        <w:wordWrap/>
        <w:topLinePunct w:val="0"/>
        <w:bidi w:val="0"/>
        <w:spacing w:line="560" w:lineRule="exact"/>
        <w:ind w:firstLine="640"/>
        <w:rPr>
          <w:rFonts w:ascii="楷体_GB2312" w:hAnsi="楷体_GB2312" w:eastAsia="楷体_GB2312" w:cs="楷体_GB2312"/>
        </w:rPr>
      </w:pPr>
      <w:bookmarkStart w:id="36" w:name="_Toc535988568"/>
      <w:r>
        <w:rPr>
          <w:rFonts w:hint="eastAsia" w:ascii="楷体_GB2312" w:hAnsi="楷体_GB2312" w:eastAsia="楷体_GB2312" w:cs="楷体_GB2312"/>
        </w:rPr>
        <w:t>一、坚持的原则</w:t>
      </w:r>
      <w:bookmarkEnd w:id="36"/>
    </w:p>
    <w:p w14:paraId="7B18790E">
      <w:pPr>
        <w:keepNext w:val="0"/>
        <w:keepLines w:val="0"/>
        <w:pageBreakBefore w:val="0"/>
        <w:wordWrap/>
        <w:topLinePunct w:val="0"/>
        <w:bidi w:val="0"/>
        <w:spacing w:line="560" w:lineRule="exact"/>
        <w:ind w:firstLine="643"/>
      </w:pPr>
      <w:r>
        <w:rPr>
          <w:rFonts w:hint="eastAsia"/>
          <w:b/>
          <w:bCs/>
        </w:rPr>
        <w:t>绿色低碳。</w:t>
      </w:r>
      <w:r>
        <w:rPr>
          <w:rFonts w:hint="eastAsia"/>
        </w:rPr>
        <w:t>立足山水生态资源禀赋，将“双碳”目标贯穿产业发展全过程，严格产业准入标准，以培育壮大新质生产力为重点，同步推动传统产业节能降碳改造，实现绿色低碳发展。</w:t>
      </w:r>
    </w:p>
    <w:p w14:paraId="41D7B2EC">
      <w:pPr>
        <w:keepNext w:val="0"/>
        <w:keepLines w:val="0"/>
        <w:pageBreakBefore w:val="0"/>
        <w:wordWrap/>
        <w:topLinePunct w:val="0"/>
        <w:bidi w:val="0"/>
        <w:spacing w:line="560" w:lineRule="exact"/>
        <w:ind w:firstLine="643"/>
      </w:pPr>
      <w:r>
        <w:rPr>
          <w:rFonts w:hint="eastAsia"/>
          <w:b/>
          <w:bCs/>
        </w:rPr>
        <w:t>创新驱动。</w:t>
      </w:r>
      <w:r>
        <w:rPr>
          <w:rFonts w:hint="eastAsia"/>
        </w:rPr>
        <w:t>充分释放大学城“智核”潜能，推动创新创业和科技成果就地转化。强化企业创新主体地位，鼓励企业向“专精特新”方向发展，加大技术攻关，以科技创新赋能产业迭代，夯实新质生产力发展根基。</w:t>
      </w:r>
    </w:p>
    <w:p w14:paraId="6A52BCCE">
      <w:pPr>
        <w:keepNext w:val="0"/>
        <w:keepLines w:val="0"/>
        <w:pageBreakBefore w:val="0"/>
        <w:wordWrap/>
        <w:topLinePunct w:val="0"/>
        <w:bidi w:val="0"/>
        <w:spacing w:line="560" w:lineRule="exact"/>
        <w:ind w:firstLine="643"/>
      </w:pPr>
      <w:r>
        <w:rPr>
          <w:rFonts w:hint="eastAsia"/>
          <w:b/>
          <w:bCs/>
        </w:rPr>
        <w:t>数智赋能。</w:t>
      </w:r>
      <w:r>
        <w:rPr>
          <w:rFonts w:hint="eastAsia"/>
        </w:rPr>
        <w:t>加快数字基础设施建设，推动数智技术与实体经济深度融合。推进重点领域的数智化升级和数智化场景培育，构建“数智+”产业生态，提升产业整体效率与竞争力。</w:t>
      </w:r>
    </w:p>
    <w:p w14:paraId="4CAFE71D">
      <w:pPr>
        <w:keepNext w:val="0"/>
        <w:keepLines w:val="0"/>
        <w:pageBreakBefore w:val="0"/>
        <w:wordWrap/>
        <w:topLinePunct w:val="0"/>
        <w:bidi w:val="0"/>
        <w:spacing w:line="560" w:lineRule="exact"/>
        <w:ind w:firstLine="643"/>
      </w:pPr>
      <w:r>
        <w:rPr>
          <w:rFonts w:hint="eastAsia"/>
          <w:b/>
          <w:bCs/>
        </w:rPr>
        <w:t>产业协同。</w:t>
      </w:r>
      <w:r>
        <w:rPr>
          <w:rFonts w:hint="eastAsia"/>
        </w:rPr>
        <w:t>促进大学城科创资源、经济开发区产业载体和主城区服务功能联动互补，加强产业链上下游协同，培育一批链主企业，促进产业链式发展。主动融入济泰一体化发展格局、京津冀协同发展圈，实现产业错位发展、跨区域协同共赢。</w:t>
      </w:r>
    </w:p>
    <w:p w14:paraId="78E06E94">
      <w:pPr>
        <w:keepNext w:val="0"/>
        <w:keepLines w:val="0"/>
        <w:pageBreakBefore w:val="0"/>
        <w:wordWrap/>
        <w:topLinePunct w:val="0"/>
        <w:bidi w:val="0"/>
        <w:spacing w:line="560" w:lineRule="exact"/>
        <w:ind w:firstLine="643"/>
      </w:pPr>
      <w:r>
        <w:rPr>
          <w:rFonts w:hint="eastAsia"/>
          <w:b/>
          <w:bCs/>
        </w:rPr>
        <w:t>要素保障。</w:t>
      </w:r>
      <w:r>
        <w:rPr>
          <w:rFonts w:hint="eastAsia"/>
        </w:rPr>
        <w:t>深化要素市场化配置改革，建立“人才、资金、土地、数据”要素向重点产业倾斜的保障机制。依托双招双引平台，引进高端产业项目与领军人才；优化金融服务，引导资本支持科技创新与产业升级；统筹产业用地供给，保障重大项目落地。</w:t>
      </w:r>
    </w:p>
    <w:p w14:paraId="5C0689D8">
      <w:pPr>
        <w:keepNext w:val="0"/>
        <w:keepLines w:val="0"/>
        <w:pageBreakBefore w:val="0"/>
        <w:wordWrap/>
        <w:topLinePunct w:val="0"/>
        <w:bidi w:val="0"/>
        <w:spacing w:line="560" w:lineRule="exact"/>
        <w:ind w:firstLine="640"/>
        <w:rPr>
          <w:rFonts w:ascii="楷体_GB2312" w:hAnsi="楷体_GB2312" w:eastAsia="楷体_GB2312" w:cs="楷体_GB2312"/>
        </w:rPr>
      </w:pPr>
      <w:bookmarkStart w:id="37" w:name="_Toc1583770056"/>
      <w:r>
        <w:rPr>
          <w:rFonts w:hint="eastAsia" w:ascii="楷体_GB2312" w:hAnsi="楷体_GB2312" w:eastAsia="楷体_GB2312" w:cs="楷体_GB2312"/>
        </w:rPr>
        <w:t>二、产业布局</w:t>
      </w:r>
      <w:bookmarkEnd w:id="37"/>
    </w:p>
    <w:p w14:paraId="3CC682FE">
      <w:pPr>
        <w:keepNext w:val="0"/>
        <w:keepLines w:val="0"/>
        <w:pageBreakBefore w:val="0"/>
        <w:wordWrap/>
        <w:topLinePunct w:val="0"/>
        <w:bidi w:val="0"/>
        <w:spacing w:line="560" w:lineRule="exact"/>
        <w:ind w:firstLine="640"/>
      </w:pPr>
      <w:r>
        <w:rPr>
          <w:rFonts w:hint="eastAsia"/>
        </w:rPr>
        <w:t>产业发展空间布局以“一芯双核多点”为重点。</w:t>
      </w:r>
    </w:p>
    <w:p w14:paraId="2E507902">
      <w:pPr>
        <w:keepNext w:val="0"/>
        <w:keepLines w:val="0"/>
        <w:pageBreakBefore w:val="0"/>
        <w:wordWrap/>
        <w:topLinePunct w:val="0"/>
        <w:bidi w:val="0"/>
        <w:spacing w:line="560" w:lineRule="exact"/>
        <w:ind w:firstLine="643"/>
      </w:pPr>
      <w:r>
        <w:rPr>
          <w:rFonts w:hint="eastAsia"/>
          <w:b/>
          <w:bCs/>
        </w:rPr>
        <w:t>“一芯”：即以大学科技园为核心的创新策源芯</w:t>
      </w:r>
      <w:r>
        <w:rPr>
          <w:rFonts w:hint="eastAsia"/>
        </w:rPr>
        <w:t>。功能是打造全区乃至全市的“创新大脑”和“人才心脏”。核心功能是创新创业、产学研合作、创新策源、研发服务，为“双核”和全区产业提供源源不断的技术、人才和项目支撑，是新质生产力的发源地。发展重点是建设重点实验室、新型研发机构、概念验证中心、中试基地、大学生创业社区，举办创新创业大赛，完善“基础研究-技术攻关-成果转化”的全过程生态。</w:t>
      </w:r>
    </w:p>
    <w:p w14:paraId="675D4887">
      <w:pPr>
        <w:keepNext w:val="0"/>
        <w:keepLines w:val="0"/>
        <w:pageBreakBefore w:val="0"/>
        <w:wordWrap/>
        <w:topLinePunct w:val="0"/>
        <w:bidi w:val="0"/>
        <w:spacing w:line="560" w:lineRule="exact"/>
        <w:ind w:firstLine="643"/>
      </w:pPr>
      <w:r>
        <w:rPr>
          <w:rFonts w:hint="eastAsia"/>
          <w:b/>
          <w:bCs/>
        </w:rPr>
        <w:t>“双核”：即以创新谷和济南经济开发区为核心的两大产业增长驱动器。</w:t>
      </w:r>
      <w:r>
        <w:rPr>
          <w:rFonts w:hint="eastAsia"/>
        </w:rPr>
        <w:t>新兴未来核（创新谷）：承接“一芯”的科技成果，进行产业化落地。重点布局生物医药、新能源、汽车、网络视听、低空经济等新兴产业和未来产业，代表长清的发展方向和高端竞争力。优化升级核（济南经济开发区）：聚焦存量优化和转型升级。核心任务是盘活闲置低效土地、导入新项目、推动“数转智改”，优化提升数控机床及机器人、装备制造、压力容器等传统优势制造业，使其焕发新活力，是长清经济的压舱石和转型样板。</w:t>
      </w:r>
    </w:p>
    <w:p w14:paraId="607A591A">
      <w:pPr>
        <w:keepNext w:val="0"/>
        <w:keepLines w:val="0"/>
        <w:pageBreakBefore w:val="0"/>
        <w:wordWrap/>
        <w:topLinePunct w:val="0"/>
        <w:bidi w:val="0"/>
        <w:spacing w:line="560" w:lineRule="exact"/>
        <w:ind w:firstLine="643"/>
      </w:pPr>
      <w:r>
        <w:rPr>
          <w:rFonts w:hint="eastAsia"/>
          <w:b/>
          <w:bCs/>
        </w:rPr>
        <w:t>“多点”：即各街道（镇）为重点的产业配套功能节点</w:t>
      </w:r>
      <w:r>
        <w:rPr>
          <w:rFonts w:hint="eastAsia"/>
        </w:rPr>
        <w:t>。立足资源禀赋和产业基础，培育特色化、专业化产业集群，以“专精特新”企业培育为抓手融入全区产业生态，为“双核”的主导产业提供关键配套、供应链支持、特色产品及场景应用，形成“核心引领——节点支撑”的联动格局。</w:t>
      </w:r>
    </w:p>
    <w:p w14:paraId="59F1805C">
      <w:pPr>
        <w:pStyle w:val="4"/>
        <w:keepNext w:val="0"/>
        <w:keepLines w:val="0"/>
        <w:pageBreakBefore w:val="0"/>
        <w:wordWrap/>
        <w:topLinePunct w:val="0"/>
        <w:bidi w:val="0"/>
        <w:spacing w:line="560" w:lineRule="exact"/>
      </w:pPr>
      <w:bookmarkStart w:id="38" w:name="_Toc233272361"/>
      <w:bookmarkStart w:id="39" w:name="_Toc936409128"/>
      <w:bookmarkStart w:id="40" w:name="_Toc1938841684"/>
      <w:r>
        <w:rPr>
          <w:rFonts w:hint="eastAsia"/>
        </w:rPr>
        <w:t>第二节  做强做大做优“3+2”主导产业体系</w:t>
      </w:r>
      <w:bookmarkEnd w:id="38"/>
      <w:bookmarkEnd w:id="39"/>
      <w:bookmarkEnd w:id="40"/>
    </w:p>
    <w:p w14:paraId="283A94E1">
      <w:pPr>
        <w:keepNext w:val="0"/>
        <w:keepLines w:val="0"/>
        <w:pageBreakBefore w:val="0"/>
        <w:wordWrap/>
        <w:topLinePunct w:val="0"/>
        <w:bidi w:val="0"/>
        <w:spacing w:line="560" w:lineRule="exact"/>
        <w:ind w:firstLine="640"/>
      </w:pPr>
      <w:r>
        <w:t>以高端数控机床与机器人、新能源装备、汽车三大主导产业为根基</w:t>
      </w:r>
      <w:r>
        <w:rPr>
          <w:rFonts w:hint="eastAsia"/>
        </w:rPr>
        <w:t>，</w:t>
      </w:r>
      <w:r>
        <w:t>以生物医药、网络视听两大特色产业为亮点，推动产业绿色智能化转型，深化产学研融合，健全完善产业链条，全面提升主导产业引领带动水平。</w:t>
      </w:r>
    </w:p>
    <w:p w14:paraId="11C49E37">
      <w:pPr>
        <w:keepNext w:val="0"/>
        <w:keepLines w:val="0"/>
        <w:pageBreakBefore w:val="0"/>
        <w:wordWrap/>
        <w:topLinePunct w:val="0"/>
        <w:bidi w:val="0"/>
        <w:spacing w:line="560" w:lineRule="exact"/>
        <w:ind w:firstLine="640"/>
      </w:pPr>
      <w:bookmarkStart w:id="41" w:name="_Toc652991791"/>
      <w:r>
        <w:rPr>
          <w:rFonts w:hint="eastAsia" w:ascii="楷体_GB2312" w:hAnsi="楷体_GB2312" w:eastAsia="楷体_GB2312" w:cs="楷体_GB2312"/>
        </w:rPr>
        <w:t>一、打造高端数控机床与机器人产业集群</w:t>
      </w:r>
      <w:bookmarkEnd w:id="41"/>
    </w:p>
    <w:p w14:paraId="3887F47B">
      <w:pPr>
        <w:keepNext w:val="0"/>
        <w:keepLines w:val="0"/>
        <w:pageBreakBefore w:val="0"/>
        <w:wordWrap/>
        <w:topLinePunct w:val="0"/>
        <w:bidi w:val="0"/>
        <w:spacing w:line="560" w:lineRule="exact"/>
        <w:ind w:firstLine="640"/>
        <w:jc w:val="left"/>
      </w:pPr>
      <w:bookmarkStart w:id="42" w:name="_Toc1365454148"/>
      <w:r>
        <w:rPr>
          <w:rFonts w:hint="eastAsia"/>
          <w:kern w:val="0"/>
        </w:rPr>
        <w:t>聚焦高端数控、激光设备、核心配套三大细分领域，聚力突破伺服电机、智能电控、数控系统等关键核心部件技术，塑造差异化竞争优势。力争产业规模突破70亿元，集聚企业30家以上，建成省级以上技术创新平台20个以上，构建结构合理、协同高效、动能充沛的产业生态。</w:t>
      </w:r>
    </w:p>
    <w:p w14:paraId="2F242A6A">
      <w:pPr>
        <w:keepNext w:val="0"/>
        <w:keepLines w:val="0"/>
        <w:pageBreakBefore w:val="0"/>
        <w:wordWrap/>
        <w:topLinePunct w:val="0"/>
        <w:bidi w:val="0"/>
        <w:spacing w:line="560" w:lineRule="exact"/>
        <w:ind w:firstLine="643"/>
      </w:pPr>
      <w:r>
        <w:rPr>
          <w:rFonts w:hint="eastAsia"/>
          <w:b/>
          <w:bCs/>
          <w:kern w:val="0"/>
        </w:rPr>
        <w:t>优化产业布局。</w:t>
      </w:r>
      <w:r>
        <w:rPr>
          <w:rFonts w:hint="eastAsia"/>
          <w:kern w:val="0"/>
        </w:rPr>
        <w:t>构建“功能协同、资源互通、联动发展”的产业空间布局。济南经济开发区重点抓好项目招引与企业培育，推动产业集群集聚发展，夯实产业根基</w:t>
      </w:r>
      <w:r>
        <w:t>；</w:t>
      </w:r>
      <w:r>
        <w:rPr>
          <w:rFonts w:hint="eastAsia"/>
        </w:rPr>
        <w:t>鼓励骨干企业设立</w:t>
      </w:r>
      <w:r>
        <w:t>研发平台</w:t>
      </w:r>
      <w:r>
        <w:rPr>
          <w:rFonts w:hint="eastAsia"/>
        </w:rPr>
        <w:t>、中试基地，</w:t>
      </w:r>
      <w:r>
        <w:t>构建涵盖</w:t>
      </w:r>
      <w:r>
        <w:rPr>
          <w:rFonts w:hint="eastAsia"/>
        </w:rPr>
        <w:t>精密零部件</w:t>
      </w:r>
      <w:r>
        <w:t>的产品生态</w:t>
      </w:r>
      <w:r>
        <w:rPr>
          <w:rFonts w:hint="eastAsia"/>
        </w:rPr>
        <w:t>。创新谷</w:t>
      </w:r>
      <w:r>
        <w:t>依托高校在基础研究与前沿技术领域的优势，</w:t>
      </w:r>
      <w:r>
        <w:rPr>
          <w:rFonts w:hint="eastAsia"/>
        </w:rPr>
        <w:t>深化校企协同创新，聚焦关键领域，</w:t>
      </w:r>
      <w:r>
        <w:rPr>
          <w:rFonts w:hint="eastAsia"/>
          <w:kern w:val="0"/>
        </w:rPr>
        <w:t>布局重点实验室、创新载体等平台载体，持续输出前沿技术、科研成果和专业人才，为产业高质量发展提供支撑。</w:t>
      </w:r>
    </w:p>
    <w:p w14:paraId="1B27E7EA">
      <w:pPr>
        <w:keepNext w:val="0"/>
        <w:keepLines w:val="0"/>
        <w:pageBreakBefore w:val="0"/>
        <w:wordWrap/>
        <w:topLinePunct w:val="0"/>
        <w:bidi w:val="0"/>
        <w:spacing w:line="560" w:lineRule="exact"/>
        <w:ind w:firstLine="643"/>
      </w:pPr>
      <w:r>
        <w:rPr>
          <w:rFonts w:hint="eastAsia"/>
          <w:b/>
          <w:bCs/>
        </w:rPr>
        <w:t>加大技术创新</w:t>
      </w:r>
      <w:r>
        <w:rPr>
          <w:b/>
          <w:bCs/>
        </w:rPr>
        <w:t>。</w:t>
      </w:r>
      <w:r>
        <w:rPr>
          <w:rFonts w:hint="eastAsia"/>
        </w:rPr>
        <w:t>鼓励</w:t>
      </w:r>
      <w:r>
        <w:t>企业用好“揭榜挂帅”机制，协同高校、科研机构组建创新联合体，加大研发投入，</w:t>
      </w:r>
      <w:r>
        <w:rPr>
          <w:rFonts w:hint="eastAsia"/>
        </w:rPr>
        <w:t>推动关键</w:t>
      </w:r>
      <w:r>
        <w:t>技术攻关</w:t>
      </w:r>
      <w:r>
        <w:rPr>
          <w:rFonts w:hint="eastAsia"/>
        </w:rPr>
        <w:t>突破。</w:t>
      </w:r>
      <w:r>
        <w:rPr>
          <w:rFonts w:hint="eastAsia"/>
          <w:kern w:val="0"/>
        </w:rPr>
        <w:t>高端数控领域，以新能源汽车冲压自动化为突破口，布局智能成套产线，打造智能化生产集群。激光设备领域，延伸激光衍生技术链条，建设技术领先、应用广泛的激光数控设备研发生产基地。核心配套领域，重点围绕精密零部件、人形机器人核心组件、伺服控制系统等环节，精准施策突破技术瓶颈，补齐产业配套短板。</w:t>
      </w:r>
    </w:p>
    <w:p w14:paraId="6C63EB11">
      <w:pPr>
        <w:keepNext w:val="0"/>
        <w:keepLines w:val="0"/>
        <w:pageBreakBefore w:val="0"/>
        <w:wordWrap/>
        <w:topLinePunct w:val="0"/>
        <w:bidi w:val="0"/>
        <w:spacing w:line="560" w:lineRule="exact"/>
        <w:ind w:firstLine="643"/>
        <w:rPr>
          <w:b/>
          <w:bCs/>
          <w:kern w:val="0"/>
        </w:rPr>
      </w:pPr>
      <w:r>
        <w:rPr>
          <w:rFonts w:hint="eastAsia"/>
          <w:b/>
          <w:bCs/>
          <w:kern w:val="0"/>
        </w:rPr>
        <w:t>推动链式发展。</w:t>
      </w:r>
      <w:r>
        <w:t>精准招引落地一批深耕细分领域的科技型中小企业，</w:t>
      </w:r>
      <w:r>
        <w:rPr>
          <w:rFonts w:hint="eastAsia"/>
          <w:kern w:val="0"/>
        </w:rPr>
        <w:t>引导企业深耕本地、定向配套，推动细分产业成链集</w:t>
      </w:r>
      <w:r>
        <w:rPr>
          <w:rFonts w:hint="eastAsia"/>
        </w:rPr>
        <w:t>聚。围绕数控系统、伺服电机、高端轴承、电控部件等关键环节，靶向招</w:t>
      </w:r>
      <w:r>
        <w:rPr>
          <w:rFonts w:hint="eastAsia"/>
          <w:kern w:val="0"/>
        </w:rPr>
        <w:t>引核心配套企业，打通供应链堵点卡点。搭建产业链供需对接平台，</w:t>
      </w:r>
      <w:r>
        <w:t>鼓励骨干企业带动产业链上下游协同攻关</w:t>
      </w:r>
      <w:r>
        <w:rPr>
          <w:rFonts w:hint="eastAsia"/>
          <w:kern w:val="0"/>
        </w:rPr>
        <w:t>、配套协作，形成“以大带小、强链补链、融通发展”的</w:t>
      </w:r>
      <w:r>
        <w:t>集群化发展态势。</w:t>
      </w:r>
    </w:p>
    <w:p w14:paraId="0427735F">
      <w:pPr>
        <w:keepNext w:val="0"/>
        <w:keepLines w:val="0"/>
        <w:pageBreakBefore w:val="0"/>
        <w:widowControl/>
        <w:wordWrap/>
        <w:topLinePunct w:val="0"/>
        <w:bidi w:val="0"/>
        <w:spacing w:line="560" w:lineRule="exact"/>
        <w:ind w:firstLine="643"/>
      </w:pPr>
      <w:r>
        <w:rPr>
          <w:rFonts w:hint="eastAsia"/>
          <w:b/>
          <w:bCs/>
          <w:kern w:val="0"/>
        </w:rPr>
        <w:t>拓展应用场景。</w:t>
      </w:r>
      <w:r>
        <w:rPr>
          <w:rFonts w:hint="eastAsia"/>
          <w:kern w:val="0"/>
        </w:rPr>
        <w:t>加快5G工厂、数字化车间建设，夯实产业数字化基础，前瞻布局6G技术融合应用。</w:t>
      </w:r>
      <w:r>
        <w:t>深化“机器人+智能工厂”模式，推动机器人在全流程细分环节的规模化渗透与深度应用。鼓励激光企业开拓多元化应用方向，积极拓展低空经济、新能源装备等高端场景；率先探索机器人在医疗康复、智慧养老、现代农业等新兴领域的创新应用，开辟新市场、培育新动能，激发工业机器人应用规模的倍增效应</w:t>
      </w:r>
      <w:r>
        <w:rPr>
          <w:rFonts w:hint="eastAsia"/>
        </w:rPr>
        <w:t>。</w:t>
      </w:r>
    </w:p>
    <w:p w14:paraId="3B273DA2">
      <w:pPr>
        <w:keepNext w:val="0"/>
        <w:keepLines w:val="0"/>
        <w:pageBreakBefore w:val="0"/>
        <w:wordWrap/>
        <w:topLinePunct w:val="0"/>
        <w:bidi w:val="0"/>
        <w:spacing w:line="560" w:lineRule="exact"/>
        <w:ind w:firstLine="640"/>
      </w:pPr>
      <w:r>
        <w:rPr>
          <w:rFonts w:hint="eastAsia" w:ascii="楷体_GB2312" w:hAnsi="楷体_GB2312" w:eastAsia="楷体_GB2312" w:cs="楷体_GB2312"/>
        </w:rPr>
        <w:t>二、打造汽车产业集群</w:t>
      </w:r>
      <w:bookmarkEnd w:id="42"/>
    </w:p>
    <w:p w14:paraId="3C2DD782">
      <w:pPr>
        <w:keepNext w:val="0"/>
        <w:keepLines w:val="0"/>
        <w:pageBreakBefore w:val="0"/>
        <w:widowControl/>
        <w:wordWrap/>
        <w:topLinePunct w:val="0"/>
        <w:bidi w:val="0"/>
        <w:spacing w:line="560" w:lineRule="exact"/>
        <w:ind w:firstLine="640"/>
      </w:pPr>
      <w:bookmarkStart w:id="43" w:name="_Toc254884594"/>
      <w:r>
        <w:rPr>
          <w:rFonts w:hint="eastAsia"/>
          <w:kern w:val="0"/>
        </w:rPr>
        <w:t>锚定核心零部件加工、汽车制造智能装备、新能源专用车系统三大主攻方向，坚持专精特新、全链协同、品牌赋能，构建“龙头引领、链条完整、生态完善、品牌突出”的汽车产业发展体系，力争5年内产业规模突破 120 亿元。</w:t>
      </w:r>
    </w:p>
    <w:p w14:paraId="3CA92263">
      <w:pPr>
        <w:keepNext w:val="0"/>
        <w:keepLines w:val="0"/>
        <w:pageBreakBefore w:val="0"/>
        <w:widowControl/>
        <w:wordWrap/>
        <w:topLinePunct w:val="0"/>
        <w:bidi w:val="0"/>
        <w:spacing w:line="560" w:lineRule="exact"/>
        <w:ind w:firstLine="643"/>
      </w:pPr>
      <w:r>
        <w:rPr>
          <w:rFonts w:hint="eastAsia"/>
          <w:b/>
          <w:bCs/>
          <w:kern w:val="0"/>
        </w:rPr>
        <w:t>聚焦优势赛道。</w:t>
      </w:r>
      <w:r>
        <w:rPr>
          <w:rFonts w:hint="eastAsia"/>
          <w:kern w:val="0"/>
        </w:rPr>
        <w:t>核心零部件加工领域，引导企业向精密化、轻量化、集成化转型升级，引导汽配加工企业抱团发展、资源共享，打造辐射全省的汽车零部件配套基地。汽车制造智能装备领域，支持骨干企业加大兼并重组和技术引进，向系统解决方案服务商转型，推动专用产线与汽车制造精准适配。新能源专用车领域，以三一跃迪为龙头牵引，差异化发展专用车型，深化与低空经济、智慧城市场景融合应用。</w:t>
      </w:r>
    </w:p>
    <w:p w14:paraId="3AED10DE">
      <w:pPr>
        <w:keepNext w:val="0"/>
        <w:keepLines w:val="0"/>
        <w:pageBreakBefore w:val="0"/>
        <w:widowControl/>
        <w:wordWrap/>
        <w:topLinePunct w:val="0"/>
        <w:bidi w:val="0"/>
        <w:spacing w:line="560" w:lineRule="exact"/>
        <w:ind w:firstLine="643"/>
      </w:pPr>
      <w:r>
        <w:rPr>
          <w:rFonts w:hint="eastAsia"/>
          <w:b/>
          <w:bCs/>
          <w:kern w:val="0"/>
        </w:rPr>
        <w:t>完善配套体系。</w:t>
      </w:r>
      <w:r>
        <w:rPr>
          <w:rFonts w:hint="eastAsia"/>
          <w:kern w:val="0"/>
        </w:rPr>
        <w:t>以创新谷为核心，建设智能制造与产教融合基地，深化校企合作，定向培育新能源、智能网联、汽车制造等技能人才。依托济南经济开发区工业互联网园区，升级新型数字基础设施，支撑智能制造与低空经济发展。精准招引传感器、无线通信、车身控制模块等汽车电子企业集聚，依托龙头企业牵引，形成“龙头带配套、配套促龙头”的良性循环。</w:t>
      </w:r>
    </w:p>
    <w:p w14:paraId="50E027EC">
      <w:pPr>
        <w:keepNext w:val="0"/>
        <w:keepLines w:val="0"/>
        <w:pageBreakBefore w:val="0"/>
        <w:widowControl/>
        <w:wordWrap/>
        <w:topLinePunct w:val="0"/>
        <w:bidi w:val="0"/>
        <w:spacing w:line="560" w:lineRule="exact"/>
        <w:ind w:firstLine="643"/>
        <w:jc w:val="left"/>
      </w:pPr>
      <w:r>
        <w:rPr>
          <w:rFonts w:hint="eastAsia"/>
          <w:b/>
          <w:bCs/>
          <w:kern w:val="0"/>
        </w:rPr>
        <w:t>构建绿色循环业态。</w:t>
      </w:r>
      <w:r>
        <w:rPr>
          <w:rFonts w:hint="eastAsia"/>
          <w:kern w:val="0"/>
        </w:rPr>
        <w:t>建立企业常态化对接机制，搭建数字化供应链平台，畅通供需对接渠道，提升产品就近配套率。延伸产业服务链条，推动汽车产业向研发、流通、运维、回收全环节拓展，构建“生产—流通—使用—回收”绿色闭环体系。强化品牌培育，支持龙头企业参与行业标准制定和产品认证，提升长清汽车产业区域影响力与行业话语权。</w:t>
      </w:r>
    </w:p>
    <w:p w14:paraId="10B78E8C">
      <w:pPr>
        <w:keepNext w:val="0"/>
        <w:keepLines w:val="0"/>
        <w:pageBreakBefore w:val="0"/>
        <w:widowControl/>
        <w:wordWrap/>
        <w:topLinePunct w:val="0"/>
        <w:bidi w:val="0"/>
        <w:spacing w:line="560" w:lineRule="exact"/>
        <w:ind w:firstLine="643"/>
        <w:jc w:val="left"/>
      </w:pPr>
      <w:r>
        <w:rPr>
          <w:rFonts w:hint="eastAsia"/>
          <w:b/>
          <w:bCs/>
          <w:kern w:val="0"/>
        </w:rPr>
        <w:t>加大研发创新。</w:t>
      </w:r>
      <w:r>
        <w:rPr>
          <w:rFonts w:hint="eastAsia"/>
          <w:kern w:val="0"/>
        </w:rPr>
        <w:t>聚焦新能源汽车、专用车集成等领域开展联合技术攻关。支持中小企业参与“揭榜挂帅”，加大首台（套）装备扶持力度，加速科技成果落地转化。布局前沿应用场景，推动人工智能、工业互联网与汽车制造深度融合，培育智能网联、低空物流、智慧环卫等特色场景，形成“技术--产品--生态”迭代发展闭环。</w:t>
      </w:r>
    </w:p>
    <w:p w14:paraId="762299D8">
      <w:pPr>
        <w:keepNext w:val="0"/>
        <w:keepLines w:val="0"/>
        <w:pageBreakBefore w:val="0"/>
        <w:wordWrap/>
        <w:topLinePunct w:val="0"/>
        <w:bidi w:val="0"/>
        <w:spacing w:line="560" w:lineRule="exact"/>
        <w:ind w:firstLine="640"/>
        <w:rPr>
          <w:rFonts w:ascii="楷体_GB2312" w:hAnsi="楷体_GB2312" w:eastAsia="楷体_GB2312" w:cs="楷体_GB2312"/>
        </w:rPr>
      </w:pPr>
      <w:r>
        <w:rPr>
          <w:rFonts w:hint="eastAsia" w:ascii="楷体_GB2312" w:hAnsi="楷体_GB2312" w:eastAsia="楷体_GB2312" w:cs="楷体_GB2312"/>
        </w:rPr>
        <w:t>三、打造新能源装备产业集群</w:t>
      </w:r>
      <w:bookmarkEnd w:id="43"/>
    </w:p>
    <w:p w14:paraId="3E0796D2">
      <w:pPr>
        <w:keepNext w:val="0"/>
        <w:keepLines w:val="0"/>
        <w:pageBreakBefore w:val="0"/>
        <w:widowControl/>
        <w:wordWrap/>
        <w:topLinePunct w:val="0"/>
        <w:bidi w:val="0"/>
        <w:spacing w:line="560" w:lineRule="exact"/>
        <w:ind w:firstLine="640"/>
        <w:jc w:val="left"/>
      </w:pPr>
      <w:r>
        <w:rPr>
          <w:rFonts w:hint="eastAsia"/>
          <w:kern w:val="0"/>
        </w:rPr>
        <w:t>紧扣“集聚化、高端化、融合化”发展方向，聚焦核电装备、储能装备、新型电力装备三大赛道，完善“研发—制造—应用—循环”全链条体系，聚力打造新能源装备产业集聚区。力争到2030年，产业规模突破200亿元，培育引进企业80家以上。</w:t>
      </w:r>
    </w:p>
    <w:p w14:paraId="45FB8240">
      <w:pPr>
        <w:keepNext w:val="0"/>
        <w:keepLines w:val="0"/>
        <w:pageBreakBefore w:val="0"/>
        <w:wordWrap/>
        <w:topLinePunct w:val="0"/>
        <w:bidi w:val="0"/>
        <w:spacing w:line="560" w:lineRule="exact"/>
        <w:ind w:firstLine="643"/>
        <w:rPr>
          <w:rStyle w:val="19"/>
          <w:b w:val="0"/>
          <w:kern w:val="0"/>
        </w:rPr>
      </w:pPr>
      <w:r>
        <w:rPr>
          <w:rStyle w:val="19"/>
          <w:rFonts w:hint="eastAsia"/>
          <w:bCs/>
          <w:kern w:val="0"/>
        </w:rPr>
        <w:t>主攻三大赛道。</w:t>
      </w:r>
      <w:r>
        <w:rPr>
          <w:rStyle w:val="19"/>
          <w:rFonts w:hint="eastAsia"/>
          <w:b w:val="0"/>
          <w:kern w:val="0"/>
        </w:rPr>
        <w:t>核电装备领域，聚焦核级设备关键部件，推动企业攻克新一代核电制造技术工艺。鼓励企业主动对接央企资源，承接高端订单，建设区域核电装备特色生产基地。储能装备领域，立足全省储能发展布局，巩固中油济柴电化学储能产业优势，扩大储能集装箱产能。支持企业研发储能变流器、直流断路器等关键部件，提升本地配套能力。新型电力装备领域，依托西电济变龙头优势，聚焦特高压装备研发，突破大容量绝缘、高效冷却</w:t>
      </w:r>
      <w:r>
        <w:rPr>
          <w:rStyle w:val="19"/>
          <w:rFonts w:hint="eastAsia"/>
          <w:b w:val="0"/>
          <w:kern w:val="0"/>
          <w:highlight w:val="none"/>
        </w:rPr>
        <w:t>、抗震检测</w:t>
      </w:r>
      <w:r>
        <w:rPr>
          <w:rStyle w:val="19"/>
          <w:rFonts w:hint="eastAsia"/>
          <w:b w:val="0"/>
          <w:kern w:val="0"/>
        </w:rPr>
        <w:t>等关键技术，拓展智能电网、轻量化输变电构件等产品，壮大电力装备产业规模。</w:t>
      </w:r>
    </w:p>
    <w:p w14:paraId="307C8523">
      <w:pPr>
        <w:keepNext w:val="0"/>
        <w:keepLines w:val="0"/>
        <w:pageBreakBefore w:val="0"/>
        <w:wordWrap/>
        <w:topLinePunct w:val="0"/>
        <w:bidi w:val="0"/>
        <w:spacing w:line="560" w:lineRule="exact"/>
        <w:ind w:firstLine="643"/>
      </w:pPr>
      <w:r>
        <w:rPr>
          <w:rFonts w:hint="eastAsia"/>
          <w:b/>
          <w:bCs/>
          <w:kern w:val="0"/>
        </w:rPr>
        <w:t>壮大产业体量。</w:t>
      </w:r>
      <w:r>
        <w:t>强化链主培育</w:t>
      </w:r>
      <w:r>
        <w:rPr>
          <w:rFonts w:hint="eastAsia"/>
        </w:rPr>
        <w:t>，</w:t>
      </w:r>
      <w:r>
        <w:rPr>
          <w:rFonts w:hint="eastAsia"/>
          <w:kern w:val="0"/>
        </w:rPr>
        <w:t>支持中油济柴、西电济变等龙头企业开展数字化、智能化、绿色化技改，推动区域装备制造企业提档升级。推动建立产业联盟，强化上下游协同协作，提升产业链配套效率。精准绘制产业链图谱，建立重点企业目标库，实施链式招商，补齐产业链短板。深入推进专精特新培育计划，引导中小配套企业做精主业、提质增效，形成“链主引领、集群配套、梯次发展”的产业格局。</w:t>
      </w:r>
    </w:p>
    <w:p w14:paraId="1AD46759">
      <w:pPr>
        <w:keepNext w:val="0"/>
        <w:keepLines w:val="0"/>
        <w:pageBreakBefore w:val="0"/>
        <w:widowControl/>
        <w:wordWrap/>
        <w:topLinePunct w:val="0"/>
        <w:bidi w:val="0"/>
        <w:spacing w:line="560" w:lineRule="exact"/>
        <w:ind w:firstLine="643"/>
        <w:jc w:val="left"/>
      </w:pPr>
      <w:r>
        <w:rPr>
          <w:rFonts w:hint="eastAsia"/>
          <w:b/>
          <w:bCs/>
          <w:kern w:val="0"/>
        </w:rPr>
        <w:t>丰富应用场景。</w:t>
      </w:r>
      <w:r>
        <w:rPr>
          <w:rFonts w:hint="eastAsia"/>
          <w:kern w:val="0"/>
        </w:rPr>
        <w:t>强化场景供给与政策赋能，依托低空经济、新型能源建设机遇，推动本地新能源装备示范应用。引导企业开发户用储能、工商业储能、零碳园区综合能源解决方案。整合分布式储能、充电桩、柔性负荷等资源，加快虚拟电厂布局建设，积极融入全省源网荷储协同体系，提升区域能源统筹调配与高效利用能力。</w:t>
      </w:r>
    </w:p>
    <w:p w14:paraId="2B34EE8F">
      <w:pPr>
        <w:keepNext w:val="0"/>
        <w:keepLines w:val="0"/>
        <w:pageBreakBefore w:val="0"/>
        <w:wordWrap/>
        <w:topLinePunct w:val="0"/>
        <w:bidi w:val="0"/>
        <w:spacing w:line="560" w:lineRule="exact"/>
        <w:ind w:firstLine="643"/>
      </w:pPr>
      <w:r>
        <w:rPr>
          <w:rFonts w:hint="eastAsia"/>
          <w:b/>
          <w:bCs/>
          <w:kern w:val="0"/>
        </w:rPr>
        <w:t>构建循环体系。</w:t>
      </w:r>
      <w:r>
        <w:rPr>
          <w:rFonts w:hint="eastAsia"/>
          <w:kern w:val="0"/>
        </w:rPr>
        <w:t>加大政策与技术扶持，引导企业攻关超低排放、资源再生等绿色技术，培育装备制造、回收拆解、材料再生一体化企业。加强区内产业协同，联动汽车、生物医药、智能装备等主导产业，健全固废收集、处置、循环利用机制，破解工业废料处置难题。统筹能源多元耦合、梯次利用，构建多能互补、绿色低碳、安全可控的区域产业生态闭环。</w:t>
      </w:r>
    </w:p>
    <w:tbl>
      <w:tblPr>
        <w:tblStyle w:val="17"/>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9288"/>
      </w:tblGrid>
      <w:tr w14:paraId="5AA019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288" w:type="dxa"/>
          </w:tcPr>
          <w:p w14:paraId="69F191D5">
            <w:pPr>
              <w:pStyle w:val="5"/>
              <w:keepNext w:val="0"/>
              <w:keepLines w:val="0"/>
              <w:pageBreakBefore w:val="0"/>
              <w:wordWrap/>
              <w:topLinePunct w:val="0"/>
              <w:bidi w:val="0"/>
              <w:spacing w:after="0" w:line="560" w:lineRule="exact"/>
              <w:ind w:firstLine="0" w:firstLineChars="0"/>
              <w:jc w:val="center"/>
              <w:textAlignment w:val="baseline"/>
              <w:rPr>
                <w:rFonts w:ascii="楷体_GB2312" w:hAnsi="楷体_GB2312" w:eastAsia="楷体_GB2312" w:cs="楷体_GB2312"/>
              </w:rPr>
            </w:pPr>
            <w:r>
              <w:rPr>
                <w:rFonts w:hint="eastAsia" w:ascii="黑体" w:hAnsi="黑体" w:eastAsia="黑体" w:cs="黑体"/>
                <w:sz w:val="30"/>
                <w:szCs w:val="30"/>
              </w:rPr>
              <w:t>专栏2</w:t>
            </w:r>
            <w:r>
              <w:rPr>
                <w:rFonts w:hint="eastAsia" w:ascii="楷体_GB2312" w:hAnsi="楷体_GB2312" w:eastAsia="楷体_GB2312" w:cs="楷体_GB2312"/>
              </w:rPr>
              <w:t xml:space="preserve"> </w:t>
            </w:r>
            <w:r>
              <w:rPr>
                <w:rFonts w:hint="eastAsia" w:ascii="黑体" w:hAnsi="黑体" w:eastAsia="黑体" w:cs="黑体"/>
                <w:sz w:val="30"/>
                <w:szCs w:val="30"/>
              </w:rPr>
              <w:t>主导产业重点项目</w:t>
            </w:r>
          </w:p>
          <w:p w14:paraId="1D2E7FBA">
            <w:pPr>
              <w:pStyle w:val="5"/>
              <w:keepNext w:val="0"/>
              <w:keepLines w:val="0"/>
              <w:pageBreakBefore w:val="0"/>
              <w:wordWrap/>
              <w:topLinePunct w:val="0"/>
              <w:bidi w:val="0"/>
              <w:spacing w:after="0" w:line="560" w:lineRule="exact"/>
              <w:ind w:firstLine="560"/>
              <w:textAlignment w:val="baseline"/>
            </w:pPr>
            <w:r>
              <w:rPr>
                <w:rFonts w:hint="eastAsia" w:ascii="楷体_GB2312" w:hAnsi="楷体_GB2312" w:eastAsia="楷体_GB2312" w:cs="楷体_GB2312"/>
                <w:sz w:val="28"/>
                <w:szCs w:val="28"/>
              </w:rPr>
              <w:t>济南智造共享生产基地项目（大众报业地块盘活）、济南晶恒电子产业提升扩能项目、力建数控母线加工机生产制造、国舜绿建低碳和钢智能科技示范产业园、金强激光智能化工厂车间建设、创新谷智能智造生产基地、创新谷高端智能装备产业园项目、济柴公司大缸径发动机产能及试验能力提升、大秦仪器仪表产业园、巨能数控智造产业园、鲁润集团新能源装备总部基地项目二期、粮库智能控制系统及配套智能生产项目、济南奥图自动化股份有限公司高端智能制造工厂创新谷片区建设项目、西电济变大型电力变智能制造基地、山东亿同伟业机械制造有限公司电力装备智能制造扩建项目、锂电池金属资源梯次利用及再生循环标准化项目、西电济变高端输变电装备检测试验室项目</w:t>
            </w:r>
          </w:p>
        </w:tc>
      </w:tr>
    </w:tbl>
    <w:p w14:paraId="3729A582">
      <w:pPr>
        <w:keepNext w:val="0"/>
        <w:keepLines w:val="0"/>
        <w:pageBreakBefore w:val="0"/>
        <w:wordWrap/>
        <w:topLinePunct w:val="0"/>
        <w:bidi w:val="0"/>
        <w:spacing w:line="560" w:lineRule="exact"/>
        <w:ind w:firstLine="640"/>
        <w:rPr>
          <w:rFonts w:ascii="楷体_GB2312" w:hAnsi="楷体_GB2312" w:eastAsia="楷体_GB2312" w:cs="楷体_GB2312"/>
        </w:rPr>
      </w:pPr>
      <w:bookmarkStart w:id="44" w:name="_Toc1944720012"/>
      <w:r>
        <w:rPr>
          <w:rFonts w:hint="eastAsia" w:ascii="楷体_GB2312" w:hAnsi="楷体_GB2312" w:eastAsia="楷体_GB2312" w:cs="楷体_GB2312"/>
        </w:rPr>
        <w:t>四、做大生物医药产业</w:t>
      </w:r>
      <w:bookmarkEnd w:id="44"/>
    </w:p>
    <w:p w14:paraId="7864741C">
      <w:pPr>
        <w:keepNext w:val="0"/>
        <w:keepLines w:val="0"/>
        <w:pageBreakBefore w:val="0"/>
        <w:wordWrap/>
        <w:topLinePunct w:val="0"/>
        <w:bidi w:val="0"/>
        <w:spacing w:line="560" w:lineRule="exact"/>
        <w:ind w:firstLine="640"/>
      </w:pPr>
      <w:r>
        <w:rPr>
          <w:rFonts w:hint="eastAsia"/>
        </w:rPr>
        <w:t>聚焦现代医药、生物制造重点领域，发挥大学城人才智力、科技研发、平台载体等优势，推动生物医药产业链群集聚发展，争取到“十五五”末，产业规模突破50亿元，成为山东省乃至全国有一定影响力的生物医药产业基地。</w:t>
      </w:r>
    </w:p>
    <w:p w14:paraId="78A16AD7">
      <w:pPr>
        <w:keepNext w:val="0"/>
        <w:keepLines w:val="0"/>
        <w:pageBreakBefore w:val="0"/>
        <w:wordWrap/>
        <w:topLinePunct w:val="0"/>
        <w:bidi w:val="0"/>
        <w:spacing w:line="560" w:lineRule="exact"/>
        <w:ind w:firstLine="643"/>
      </w:pPr>
      <w:r>
        <w:rPr>
          <w:rFonts w:hint="eastAsia"/>
          <w:b/>
          <w:bCs/>
        </w:rPr>
        <w:t>聚焦四大赛道夯实产业基础</w:t>
      </w:r>
      <w:r>
        <w:rPr>
          <w:rFonts w:hint="eastAsia"/>
        </w:rPr>
        <w:t>。</w:t>
      </w:r>
      <w:r>
        <w:rPr>
          <w:rFonts w:hint="eastAsia"/>
          <w:b/>
          <w:bCs/>
        </w:rPr>
        <w:t>中医中药产业。</w:t>
      </w:r>
      <w:r>
        <w:rPr>
          <w:rFonts w:hint="eastAsia"/>
        </w:rPr>
        <w:t>大力发展特色药材种植及深加工，实现道地药材产业化。打造中药院内制剂中试基地，满足临床急需制剂试制需求。建设区域制剂中心，布局颗粒剂、丸剂、合剂等生产线，为医疗机构提供制剂研发、生产、检测、配送一体化服务。发挥特色疗法示范作用，擦亮“扁鹊故里”金字招牌。</w:t>
      </w:r>
      <w:r>
        <w:rPr>
          <w:rFonts w:hint="eastAsia"/>
          <w:b/>
          <w:bCs/>
        </w:rPr>
        <w:t>细胞与基因治疗</w:t>
      </w:r>
      <w:r>
        <w:rPr>
          <w:b/>
          <w:bCs/>
        </w:rPr>
        <w:t>产业。</w:t>
      </w:r>
      <w:r>
        <w:rPr>
          <w:rFonts w:hint="eastAsia"/>
        </w:rPr>
        <w:t>以前沿生物药为主攻方向，聚力发展中游细胞技术产品，布局引进培育CRO、CDMO专业服务机构，完善研发外包、工艺放大、商业化生产配套支撑体系；重点引进和培育覆盖 CAR-T、基因编辑、mRNA 等领域的成熟研发管线，支持企业加快一类新药临床转化、上市突破，着力引进细胞治疗产业上市主体。</w:t>
      </w:r>
      <w:r>
        <w:rPr>
          <w:rFonts w:hint="eastAsia"/>
          <w:b/>
          <w:bCs/>
        </w:rPr>
        <w:t>医疗器械产业。</w:t>
      </w:r>
      <w:r>
        <w:rPr>
          <w:rFonts w:hint="eastAsia"/>
        </w:rPr>
        <w:t>依托新质医疗器械产业园，招引IVD、医疗器械、医疗设备、康复辅具、高值医用耗材等领域优质企业落地长清。延伸产业链条，引育上游新材料、电子元器件企业，完善产业链环节。</w:t>
      </w:r>
      <w:r>
        <w:rPr>
          <w:rFonts w:hint="eastAsia"/>
          <w:b/>
          <w:bCs/>
        </w:rPr>
        <w:t>医美健康产业。</w:t>
      </w:r>
      <w:r>
        <w:rPr>
          <w:rFonts w:hint="eastAsia"/>
        </w:rPr>
        <w:t>支持校企联合研发医美行业活性原料，开发更多医美产品。联动医美与大健康服务场景，形成以“预防-治疗-康复-健康管理”为核心的全生命周期大健康服务体系，将应用场景拓展至与医美及大健康相关的保健品、特医食品及康养服务等领域。</w:t>
      </w:r>
    </w:p>
    <w:p w14:paraId="6932E2D8">
      <w:pPr>
        <w:keepNext w:val="0"/>
        <w:keepLines w:val="0"/>
        <w:pageBreakBefore w:val="0"/>
        <w:wordWrap/>
        <w:topLinePunct w:val="0"/>
        <w:bidi w:val="0"/>
        <w:spacing w:line="560" w:lineRule="exact"/>
        <w:ind w:firstLine="643"/>
      </w:pPr>
      <w:r>
        <w:rPr>
          <w:b/>
          <w:bCs/>
        </w:rPr>
        <w:t>充分发挥属地高校的智力优势</w:t>
      </w:r>
      <w:r>
        <w:rPr>
          <w:rFonts w:hint="eastAsia"/>
          <w:b/>
          <w:bCs/>
        </w:rPr>
        <w:t>。</w:t>
      </w:r>
      <w:r>
        <w:t>构建“高校研发—平台转化—产业应用”一体化创新链条。依托山东中医药大学在中药制剂与新药研发、齐鲁工业大学在生物制造与合成生物等领域的学科优势，共建成果转化中试基地和概念验证中心，推动干细胞治疗、基因编辑、院内制剂二次开发等实现从实验室到产业化无缝衔接，为高校科技成果就地转化提供从概念验证、中试熟化到规模化放大、市场推广的全流程赋能。</w:t>
      </w:r>
    </w:p>
    <w:p w14:paraId="2E92150C">
      <w:pPr>
        <w:keepNext w:val="0"/>
        <w:keepLines w:val="0"/>
        <w:pageBreakBefore w:val="0"/>
        <w:wordWrap/>
        <w:topLinePunct w:val="0"/>
        <w:bidi w:val="0"/>
        <w:spacing w:line="560" w:lineRule="exact"/>
        <w:ind w:firstLine="643"/>
      </w:pPr>
      <w:r>
        <w:rPr>
          <w:b/>
          <w:bCs/>
        </w:rPr>
        <w:t>搭建产业赋能平台集群</w:t>
      </w:r>
      <w:r>
        <w:rPr>
          <w:rFonts w:hint="eastAsia"/>
          <w:b/>
          <w:bCs/>
        </w:rPr>
        <w:t>。</w:t>
      </w:r>
      <w:r>
        <w:t>围绕细胞治疗、基因药物等重点方向，</w:t>
      </w:r>
      <w:r>
        <w:rPr>
          <w:rFonts w:hint="eastAsia"/>
        </w:rPr>
        <w:t>加快</w:t>
      </w:r>
      <w:r>
        <w:t>布局全链条产业服务载体，建设生物医药共享实验室、动物实验平台等公共技术设施。密切跟踪国家在细胞治疗临床审评、中药制剂备案等政策动态，提前布局临床研究平台</w:t>
      </w:r>
      <w:r>
        <w:rPr>
          <w:rFonts w:hint="eastAsia"/>
        </w:rPr>
        <w:t>及转化应用平台</w:t>
      </w:r>
      <w:r>
        <w:t>，打造集研发服务、政策对接、</w:t>
      </w:r>
      <w:r>
        <w:rPr>
          <w:rFonts w:hint="eastAsia"/>
        </w:rPr>
        <w:t>产品</w:t>
      </w:r>
      <w:r>
        <w:t>准入加速为一体的区域性产业赋能体系。高标准</w:t>
      </w:r>
      <w:r>
        <w:rPr>
          <w:rFonts w:hint="eastAsia"/>
        </w:rPr>
        <w:t>推进生物制造产业研发中心</w:t>
      </w:r>
      <w:r>
        <w:t>建设，</w:t>
      </w:r>
      <w:r>
        <w:rPr>
          <w:rFonts w:hint="eastAsia"/>
        </w:rPr>
        <w:t>加大配套企业的招引培育，形成</w:t>
      </w:r>
      <w:r>
        <w:t>全链条产业生态。</w:t>
      </w:r>
    </w:p>
    <w:p w14:paraId="7F006BE2">
      <w:pPr>
        <w:keepNext w:val="0"/>
        <w:keepLines w:val="0"/>
        <w:pageBreakBefore w:val="0"/>
        <w:wordWrap/>
        <w:topLinePunct w:val="0"/>
        <w:bidi w:val="0"/>
        <w:spacing w:line="560" w:lineRule="exact"/>
        <w:ind w:firstLine="643"/>
      </w:pPr>
      <w:r>
        <w:rPr>
          <w:b/>
          <w:bCs/>
        </w:rPr>
        <w:t>深耕资源要素系统配置</w:t>
      </w:r>
      <w:r>
        <w:rPr>
          <w:rFonts w:hint="eastAsia"/>
          <w:b/>
          <w:bCs/>
        </w:rPr>
        <w:t>。</w:t>
      </w:r>
      <w:r>
        <w:t>高标准</w:t>
      </w:r>
      <w:r>
        <w:rPr>
          <w:rFonts w:hint="eastAsia"/>
        </w:rPr>
        <w:t>建设</w:t>
      </w:r>
      <w:r>
        <w:t>生物医药谷、新质医疗器械产业园、鲁澳大健康科技园等载体，统筹布局研发办公、小试中试、规模化生产等功能空间，满足企业全生命周期发展需求。强化工业蒸汽、危废处理、冷链物流等基础配套能力，</w:t>
      </w:r>
      <w:r>
        <w:rPr>
          <w:rFonts w:hint="eastAsia"/>
        </w:rPr>
        <w:t>建成</w:t>
      </w:r>
      <w:r>
        <w:t>符合GMP标准的国际化生物药生产基地</w:t>
      </w:r>
      <w:r>
        <w:rPr>
          <w:rFonts w:hint="eastAsia"/>
        </w:rPr>
        <w:t>和</w:t>
      </w:r>
      <w:r>
        <w:t>智能化</w:t>
      </w:r>
      <w:r>
        <w:rPr>
          <w:rFonts w:hint="eastAsia"/>
        </w:rPr>
        <w:t>、规模化</w:t>
      </w:r>
      <w:r>
        <w:t>医疗器械</w:t>
      </w:r>
      <w:r>
        <w:rPr>
          <w:rFonts w:hint="eastAsia"/>
        </w:rPr>
        <w:t>基地</w:t>
      </w:r>
      <w:r>
        <w:t>。设立生物医药专项基金，联合社会资本</w:t>
      </w:r>
      <w:r>
        <w:rPr>
          <w:rFonts w:hint="eastAsia"/>
        </w:rPr>
        <w:t>，</w:t>
      </w:r>
      <w:r>
        <w:t>构建覆盖种子期、成长期到扩张期的投融资服务体系，多渠道破解企业融资瓶颈。</w:t>
      </w:r>
    </w:p>
    <w:p w14:paraId="622967FD">
      <w:pPr>
        <w:keepNext w:val="0"/>
        <w:keepLines w:val="0"/>
        <w:pageBreakBefore w:val="0"/>
        <w:wordWrap/>
        <w:topLinePunct w:val="0"/>
        <w:bidi w:val="0"/>
        <w:spacing w:line="560" w:lineRule="exact"/>
        <w:ind w:firstLine="643"/>
      </w:pPr>
      <w:r>
        <w:rPr>
          <w:b/>
          <w:bCs/>
        </w:rPr>
        <w:t>大力拓展产品应用场景</w:t>
      </w:r>
      <w:r>
        <w:rPr>
          <w:rFonts w:hint="eastAsia"/>
          <w:b/>
          <w:bCs/>
        </w:rPr>
        <w:t>。</w:t>
      </w:r>
      <w:r>
        <w:t>紧抓细胞治疗、智慧医疗等蓝海市场机遇，推动医疗、养老、康养等机构协同开展场景示范，支持干细胞、康复辅具、AI辅助诊疗等产品技术在社区医养、旅居康养等场景中先行先试。推动“医产联动”模式创新，串联“研发—生产—应用—反馈”闭环，打通技术到市场的转化堵点，打造立足长清、辐射区域的生物医药与健康产业融合发展新高地。</w:t>
      </w:r>
    </w:p>
    <w:tbl>
      <w:tblPr>
        <w:tblStyle w:val="16"/>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9288"/>
      </w:tblGrid>
      <w:tr w14:paraId="75A7B3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288" w:type="dxa"/>
          </w:tcPr>
          <w:p w14:paraId="68210DDB">
            <w:pPr>
              <w:pStyle w:val="5"/>
              <w:keepNext w:val="0"/>
              <w:keepLines w:val="0"/>
              <w:pageBreakBefore w:val="0"/>
              <w:wordWrap/>
              <w:topLinePunct w:val="0"/>
              <w:bidi w:val="0"/>
              <w:spacing w:after="0" w:line="560" w:lineRule="exact"/>
              <w:ind w:firstLine="600"/>
              <w:jc w:val="center"/>
              <w:textAlignment w:val="baseline"/>
              <w:rPr>
                <w:rFonts w:ascii="楷体_GB2312" w:hAnsi="楷体_GB2312" w:eastAsia="黑体" w:cs="楷体_GB2312"/>
              </w:rPr>
            </w:pPr>
            <w:r>
              <w:rPr>
                <w:rFonts w:hint="eastAsia" w:ascii="黑体" w:hAnsi="黑体" w:eastAsia="黑体" w:cs="黑体"/>
                <w:sz w:val="30"/>
                <w:szCs w:val="30"/>
              </w:rPr>
              <w:t>专栏3  生物医药产业重点项目</w:t>
            </w:r>
          </w:p>
          <w:p w14:paraId="1B7491FE">
            <w:pPr>
              <w:pStyle w:val="5"/>
              <w:keepNext w:val="0"/>
              <w:keepLines w:val="0"/>
              <w:pageBreakBefore w:val="0"/>
              <w:wordWrap/>
              <w:topLinePunct w:val="0"/>
              <w:bidi w:val="0"/>
              <w:spacing w:after="0" w:line="560" w:lineRule="exact"/>
              <w:ind w:firstLine="560"/>
              <w:textAlignment w:val="baseline"/>
              <w:rPr>
                <w:rFonts w:ascii="楷体_GB2312" w:hAnsi="楷体_GB2312" w:eastAsia="楷体_GB2312" w:cs="楷体_GB2312"/>
                <w:sz w:val="28"/>
                <w:szCs w:val="28"/>
              </w:rPr>
            </w:pPr>
            <w:r>
              <w:rPr>
                <w:rFonts w:hint="eastAsia" w:ascii="楷体_GB2312" w:hAnsi="楷体_GB2312" w:eastAsia="楷体_GB2312" w:cs="楷体_GB2312"/>
                <w:sz w:val="28"/>
                <w:szCs w:val="28"/>
              </w:rPr>
              <w:t>生物医药谷、新质国际医疗器械产业园、新质生物医药产业园（42亩）、生物医药谷二期项目（创新谷东峪101亩地）、葆正医药创新药项目、大华凯特创新药项目、唯可生物细胞和基因治疗产品安全性评价试剂盒项目、广盛源宠物药项目</w:t>
            </w:r>
          </w:p>
        </w:tc>
      </w:tr>
    </w:tbl>
    <w:p w14:paraId="2B5C4001">
      <w:pPr>
        <w:keepNext w:val="0"/>
        <w:keepLines w:val="0"/>
        <w:pageBreakBefore w:val="0"/>
        <w:wordWrap/>
        <w:topLinePunct w:val="0"/>
        <w:bidi w:val="0"/>
        <w:spacing w:line="560" w:lineRule="exact"/>
        <w:ind w:firstLine="640"/>
        <w:jc w:val="left"/>
        <w:rPr>
          <w:rFonts w:ascii="楷体_GB2312" w:hAnsi="楷体_GB2312" w:eastAsia="楷体_GB2312" w:cs="楷体_GB2312"/>
        </w:rPr>
      </w:pPr>
      <w:bookmarkStart w:id="45" w:name="_Toc2129656581"/>
      <w:r>
        <w:rPr>
          <w:rFonts w:hint="eastAsia" w:ascii="楷体_GB2312" w:hAnsi="楷体_GB2312" w:eastAsia="楷体_GB2312" w:cs="楷体_GB2312"/>
        </w:rPr>
        <w:t>五、做优网络视听产业</w:t>
      </w:r>
      <w:bookmarkEnd w:id="45"/>
    </w:p>
    <w:p w14:paraId="5A5E1BBB">
      <w:pPr>
        <w:keepNext w:val="0"/>
        <w:keepLines w:val="0"/>
        <w:pageBreakBefore w:val="0"/>
        <w:wordWrap/>
        <w:topLinePunct w:val="0"/>
        <w:bidi w:val="0"/>
        <w:spacing w:line="560" w:lineRule="exact"/>
        <w:ind w:firstLine="640"/>
      </w:pPr>
      <w:r>
        <w:t>坚持“生态为基、沿链布局、系统推进”的总体思路，</w:t>
      </w:r>
      <w:r>
        <w:rPr>
          <w:rFonts w:hint="eastAsia"/>
        </w:rPr>
        <w:t>推动</w:t>
      </w:r>
      <w:r>
        <w:t>网络视听产业</w:t>
      </w:r>
      <w:r>
        <w:rPr>
          <w:rFonts w:hint="eastAsia"/>
        </w:rPr>
        <w:t>从“实景拍摄”</w:t>
      </w:r>
      <w:r>
        <w:t>向“AI生成”加速转型，围绕“AIGC技术应用、OPC主体培育、数字平台建设、IP品牌打造”四大方向，构建要素齐备、良性循环的产业生态。力争通过5年努力，将长清建设成为AI视听内容创作高地和电商直播产业集聚区。</w:t>
      </w:r>
    </w:p>
    <w:p w14:paraId="17C71352">
      <w:pPr>
        <w:keepNext w:val="0"/>
        <w:keepLines w:val="0"/>
        <w:pageBreakBefore w:val="0"/>
        <w:wordWrap/>
        <w:topLinePunct w:val="0"/>
        <w:bidi w:val="0"/>
        <w:spacing w:line="560" w:lineRule="exact"/>
        <w:ind w:firstLine="643"/>
      </w:pPr>
      <w:r>
        <w:rPr>
          <w:b/>
          <w:bCs/>
        </w:rPr>
        <w:t>构建AI驱动的数字生产生态</w:t>
      </w:r>
      <w:r>
        <w:rPr>
          <w:rFonts w:hint="eastAsia"/>
          <w:b/>
          <w:bCs/>
        </w:rPr>
        <w:t>。</w:t>
      </w:r>
      <w:r>
        <w:t>搭建“长清数字片场”</w:t>
      </w:r>
      <w:r>
        <w:rPr>
          <w:rFonts w:hint="eastAsia"/>
        </w:rPr>
        <w:t>，</w:t>
      </w:r>
      <w:r>
        <w:t>将灵岩寺、五峰山等本地资源进行数字化采集，建成标准化视频</w:t>
      </w:r>
      <w:r>
        <w:rPr>
          <w:rFonts w:hint="eastAsia"/>
        </w:rPr>
        <w:t>共享</w:t>
      </w:r>
      <w:r>
        <w:t>素材库。</w:t>
      </w:r>
      <w:r>
        <w:rPr>
          <w:rFonts w:hint="eastAsia"/>
        </w:rPr>
        <w:t>支持</w:t>
      </w:r>
      <w:r>
        <w:t>OPC创业</w:t>
      </w:r>
      <w:r>
        <w:rPr>
          <w:rFonts w:hint="eastAsia"/>
        </w:rPr>
        <w:t>，</w:t>
      </w:r>
      <w:r>
        <w:t>为掌握AI创作工具的个人和小型团队提供算力</w:t>
      </w:r>
      <w:r>
        <w:rPr>
          <w:rFonts w:hint="eastAsia"/>
        </w:rPr>
        <w:t>扶持</w:t>
      </w:r>
      <w:r>
        <w:t>、设备共享、版权登记等支持。鼓励AI技术应用</w:t>
      </w:r>
      <w:r>
        <w:rPr>
          <w:rFonts w:hint="eastAsia"/>
        </w:rPr>
        <w:t>，</w:t>
      </w:r>
      <w:r>
        <w:t>支持企业运用AIGC技术制作微短剧、动漫、数字人等，对运用新技术创作、在头部平台上线且表现优秀的作品给予奖励。</w:t>
      </w:r>
    </w:p>
    <w:p w14:paraId="23FB4C86">
      <w:pPr>
        <w:keepNext w:val="0"/>
        <w:keepLines w:val="0"/>
        <w:pageBreakBefore w:val="0"/>
        <w:wordWrap/>
        <w:topLinePunct w:val="0"/>
        <w:bidi w:val="0"/>
        <w:spacing w:line="560" w:lineRule="exact"/>
        <w:ind w:firstLine="643"/>
      </w:pPr>
      <w:r>
        <w:rPr>
          <w:b/>
          <w:bCs/>
        </w:rPr>
        <w:t>打造数字与实景融合服务体系</w:t>
      </w:r>
      <w:r>
        <w:rPr>
          <w:rFonts w:hint="eastAsia"/>
          <w:b/>
          <w:bCs/>
        </w:rPr>
        <w:t>。</w:t>
      </w:r>
      <w:r>
        <w:t>按照“数字为主、实景为辅”的思路配置资源</w:t>
      </w:r>
      <w:r>
        <w:rPr>
          <w:rFonts w:hint="eastAsia"/>
        </w:rPr>
        <w:t>，</w:t>
      </w:r>
      <w:r>
        <w:t>适度保留高标准实景摄影棚，满足部分特殊题材拍摄需求，不搞大规模重复建设。优化实景拍摄服务</w:t>
      </w:r>
      <w:r>
        <w:rPr>
          <w:rFonts w:hint="eastAsia"/>
        </w:rPr>
        <w:t>，</w:t>
      </w:r>
      <w:r>
        <w:t>建立区级协拍中心，整合灵岩寺、古村落等取景资源，为剧组提供“一站式”场景对接服务。推广数字人直播</w:t>
      </w:r>
      <w:r>
        <w:rPr>
          <w:rFonts w:hint="eastAsia"/>
        </w:rPr>
        <w:t>，</w:t>
      </w:r>
      <w:r>
        <w:t>鼓励电商企业运用成熟的AI数字人技术，实现“真人+虚拟人”轮播带货，降低中小商家直播门槛。</w:t>
      </w:r>
    </w:p>
    <w:p w14:paraId="71BFA950">
      <w:pPr>
        <w:keepNext w:val="0"/>
        <w:keepLines w:val="0"/>
        <w:pageBreakBefore w:val="0"/>
        <w:wordWrap/>
        <w:topLinePunct w:val="0"/>
        <w:bidi w:val="0"/>
        <w:spacing w:line="560" w:lineRule="exact"/>
        <w:ind w:firstLine="643"/>
      </w:pPr>
      <w:r>
        <w:rPr>
          <w:b/>
          <w:bCs/>
        </w:rPr>
        <w:t>培育AIGC复合型人才</w:t>
      </w:r>
      <w:r>
        <w:rPr>
          <w:rFonts w:hint="eastAsia"/>
          <w:b/>
          <w:bCs/>
        </w:rPr>
        <w:t>。</w:t>
      </w:r>
      <w:r>
        <w:t>鼓励驻区高校增设AIGC工具应用、AI影视制作等实用方向，联合企业共建实训基地</w:t>
      </w:r>
      <w:r>
        <w:rPr>
          <w:rFonts w:hint="eastAsia"/>
        </w:rPr>
        <w:t>，</w:t>
      </w:r>
      <w:r>
        <w:t>培养一批懂技术、会创作、能创业的新型人才</w:t>
      </w:r>
      <w:r>
        <w:rPr>
          <w:rFonts w:hint="eastAsia"/>
        </w:rPr>
        <w:t>。适时</w:t>
      </w:r>
      <w:r>
        <w:t>举办AIGC微短剧、数字人创作大赛，对获奖团队给予孵化支持。建设创作者社区</w:t>
      </w:r>
      <w:r>
        <w:rPr>
          <w:rFonts w:hint="eastAsia"/>
        </w:rPr>
        <w:t>，</w:t>
      </w:r>
      <w:r>
        <w:t>提供免费培训、算力</w:t>
      </w:r>
      <w:r>
        <w:rPr>
          <w:rFonts w:hint="eastAsia"/>
        </w:rPr>
        <w:t>扶持</w:t>
      </w:r>
      <w:r>
        <w:t>、流量</w:t>
      </w:r>
      <w:r>
        <w:rPr>
          <w:rFonts w:hint="eastAsia"/>
        </w:rPr>
        <w:t>引导</w:t>
      </w:r>
      <w:r>
        <w:t>等政策，吸引有创意的年轻人来长清创业，形成创作者集聚效应。</w:t>
      </w:r>
    </w:p>
    <w:p w14:paraId="169D29A1">
      <w:pPr>
        <w:keepNext w:val="0"/>
        <w:keepLines w:val="0"/>
        <w:pageBreakBefore w:val="0"/>
        <w:wordWrap/>
        <w:topLinePunct w:val="0"/>
        <w:bidi w:val="0"/>
        <w:spacing w:line="560" w:lineRule="exact"/>
        <w:ind w:firstLine="643"/>
      </w:pPr>
      <w:r>
        <w:rPr>
          <w:b/>
          <w:bCs/>
        </w:rPr>
        <w:t>打造“长清出品”IP矩阵</w:t>
      </w:r>
      <w:r>
        <w:rPr>
          <w:rFonts w:hint="eastAsia"/>
          <w:b/>
          <w:bCs/>
        </w:rPr>
        <w:t>。</w:t>
      </w:r>
      <w:r>
        <w:t>围绕</w:t>
      </w:r>
      <w:r>
        <w:rPr>
          <w:rFonts w:hint="eastAsia"/>
        </w:rPr>
        <w:t>长清特有</w:t>
      </w:r>
      <w:r>
        <w:t>文化资源，开发系列微短剧、动漫作品，推动“微短剧+文旅”“微短剧+非遗”融合发展</w:t>
      </w:r>
      <w:r>
        <w:rPr>
          <w:rFonts w:hint="eastAsia"/>
        </w:rPr>
        <w:t>，打造</w:t>
      </w:r>
      <w:r>
        <w:t>本土文化IP。定期举办创投对接会，邀请平台方、投资机构与创作团队面对面交流，为好剧本找投资、为好作品找平台。</w:t>
      </w:r>
      <w:r>
        <w:rPr>
          <w:rFonts w:hint="eastAsia"/>
        </w:rPr>
        <w:t>打造高标准电商直播基地，</w:t>
      </w:r>
      <w:r>
        <w:t>拓展“微短剧+电商”</w:t>
      </w:r>
      <w:r>
        <w:rPr>
          <w:rFonts w:hint="eastAsia"/>
        </w:rPr>
        <w:t>，构建</w:t>
      </w:r>
      <w:r>
        <w:rPr>
          <w:kern w:val="0"/>
        </w:rPr>
        <w:t>“直播+供应链+配套服务”协同发展的闭环生态和可复制的区域电商发展模式，</w:t>
      </w:r>
      <w:r>
        <w:t>促进网络视听与</w:t>
      </w:r>
      <w:r>
        <w:rPr>
          <w:rFonts w:hint="eastAsia"/>
        </w:rPr>
        <w:t>直播</w:t>
      </w:r>
      <w:r>
        <w:t>电商等业态融合</w:t>
      </w:r>
      <w:r>
        <w:rPr>
          <w:rFonts w:hint="eastAsia"/>
        </w:rPr>
        <w:t>。</w:t>
      </w:r>
    </w:p>
    <w:p w14:paraId="3F32F360">
      <w:pPr>
        <w:keepNext w:val="0"/>
        <w:keepLines w:val="0"/>
        <w:pageBreakBefore w:val="0"/>
        <w:wordWrap/>
        <w:topLinePunct w:val="0"/>
        <w:bidi w:val="0"/>
        <w:spacing w:line="560" w:lineRule="exact"/>
        <w:ind w:firstLine="643"/>
      </w:pPr>
      <w:r>
        <w:rPr>
          <w:b/>
          <w:bCs/>
        </w:rPr>
        <w:t>加大政策扶持</w:t>
      </w:r>
      <w:r>
        <w:rPr>
          <w:rFonts w:hint="eastAsia"/>
          <w:b/>
          <w:bCs/>
        </w:rPr>
        <w:t>。</w:t>
      </w:r>
      <w:r>
        <w:rPr>
          <w:rFonts w:hint="eastAsia"/>
        </w:rPr>
        <w:t>完善</w:t>
      </w:r>
      <w:r>
        <w:t>网络视听产业发展</w:t>
      </w:r>
      <w:r>
        <w:rPr>
          <w:rFonts w:hint="eastAsia"/>
        </w:rPr>
        <w:t>扶持政策</w:t>
      </w:r>
      <w:r>
        <w:t>，重点支持AIGC技术应用、OPC孵化、精品创作、人才引进等方向。构建金融支持体系，联合省、市引导基金设立网络视听产业子基金，定期举办文创金融对接会，为好项目提供融资服务。积极争取省级试点政策，争创省级AIGC应用示范区，借力上级资源推动产业发展。</w:t>
      </w:r>
    </w:p>
    <w:p w14:paraId="2329BCF4">
      <w:pPr>
        <w:pStyle w:val="4"/>
        <w:keepNext w:val="0"/>
        <w:keepLines w:val="0"/>
        <w:pageBreakBefore w:val="0"/>
        <w:wordWrap/>
        <w:topLinePunct w:val="0"/>
        <w:bidi w:val="0"/>
        <w:spacing w:line="560" w:lineRule="exact"/>
      </w:pPr>
      <w:bookmarkStart w:id="46" w:name="_Toc233272362"/>
      <w:bookmarkStart w:id="47" w:name="_Toc2134760647"/>
      <w:bookmarkStart w:id="48" w:name="_Toc1232170341"/>
      <w:r>
        <w:rPr>
          <w:rFonts w:hint="eastAsia"/>
        </w:rPr>
        <w:t>第三节  培育发展低空经济新兴产业</w:t>
      </w:r>
      <w:bookmarkEnd w:id="46"/>
      <w:bookmarkEnd w:id="47"/>
      <w:bookmarkEnd w:id="48"/>
    </w:p>
    <w:p w14:paraId="1D12AC90">
      <w:pPr>
        <w:keepNext w:val="0"/>
        <w:keepLines w:val="0"/>
        <w:pageBreakBefore w:val="0"/>
        <w:widowControl/>
        <w:wordWrap/>
        <w:topLinePunct w:val="0"/>
        <w:bidi w:val="0"/>
        <w:spacing w:line="560" w:lineRule="exact"/>
        <w:ind w:firstLine="640"/>
        <w:jc w:val="left"/>
      </w:pPr>
      <w:r>
        <w:rPr>
          <w:rFonts w:hint="eastAsia"/>
          <w:kern w:val="0"/>
        </w:rPr>
        <w:t>抢抓全国低空经济规模化发展窗口期，以创新谷为核心承载区，重点打造“研发制造+运营服务+空管保障+场景应用”全链条产业集群，形成“无人机为主体、多场景融合示范”的产业格局。力争到2030年，产业规模突破50亿元，引育产业链企业50家以上，打造全市低空经济产业新高地。</w:t>
      </w:r>
    </w:p>
    <w:p w14:paraId="3C673D38">
      <w:pPr>
        <w:keepNext w:val="0"/>
        <w:keepLines w:val="0"/>
        <w:pageBreakBefore w:val="0"/>
        <w:widowControl/>
        <w:wordWrap/>
        <w:topLinePunct w:val="0"/>
        <w:bidi w:val="0"/>
        <w:spacing w:line="560" w:lineRule="exact"/>
        <w:ind w:firstLine="643"/>
        <w:jc w:val="left"/>
      </w:pPr>
      <w:r>
        <w:rPr>
          <w:rFonts w:hint="eastAsia"/>
          <w:b/>
          <w:bCs/>
          <w:kern w:val="0"/>
        </w:rPr>
        <w:t>夯实全链发展底座。</w:t>
      </w:r>
      <w:r>
        <w:rPr>
          <w:rFonts w:hint="eastAsia"/>
          <w:kern w:val="0"/>
        </w:rPr>
        <w:t>加快推进</w:t>
      </w:r>
      <w:r>
        <w:rPr>
          <w:rStyle w:val="19"/>
          <w:rFonts w:hint="eastAsia"/>
          <w:b w:val="0"/>
          <w:kern w:val="0"/>
        </w:rPr>
        <w:t>航空装备6S保障基地</w:t>
      </w:r>
      <w:r>
        <w:rPr>
          <w:rFonts w:hint="eastAsia"/>
          <w:kern w:val="0"/>
        </w:rPr>
        <w:t>建设，聚焦无人机整机、高精度传感器、飞控系统、空域管理平台等关键环节，精准招引上下游企业集聚。构建集展示交易、智能制造、成果转化、检验检测、人才培训、综合保障于一体的地标性低空产业生态集群，争创无人机产业示范基地。推动搭建产业联盟与供需对接平台，推动“龙头+配套” 协同发展，形成链式集聚效应。</w:t>
      </w:r>
    </w:p>
    <w:p w14:paraId="73E1AB27">
      <w:pPr>
        <w:keepNext w:val="0"/>
        <w:keepLines w:val="0"/>
        <w:pageBreakBefore w:val="0"/>
        <w:widowControl/>
        <w:wordWrap/>
        <w:topLinePunct w:val="0"/>
        <w:bidi w:val="0"/>
        <w:spacing w:line="560" w:lineRule="exact"/>
        <w:ind w:firstLine="643"/>
        <w:jc w:val="left"/>
      </w:pPr>
      <w:r>
        <w:rPr>
          <w:rFonts w:hint="eastAsia"/>
          <w:b/>
          <w:bCs/>
          <w:kern w:val="0"/>
        </w:rPr>
        <w:t>构建低空物流网络。</w:t>
      </w:r>
      <w:r>
        <w:rPr>
          <w:rFonts w:hint="eastAsia"/>
          <w:kern w:val="0"/>
        </w:rPr>
        <w:t>按照“</w:t>
      </w:r>
      <w:r>
        <w:rPr>
          <w:rStyle w:val="19"/>
          <w:rFonts w:hint="eastAsia"/>
          <w:b w:val="0"/>
          <w:kern w:val="0"/>
        </w:rPr>
        <w:t>先载物后载人、先远郊后城区</w:t>
      </w:r>
      <w:r>
        <w:rPr>
          <w:rFonts w:hint="eastAsia"/>
          <w:kern w:val="0"/>
        </w:rPr>
        <w:t>”原则，加密低空物流航线，联动产业园区、高校、商业中心、交通枢纽，逐步形成</w:t>
      </w:r>
      <w:r>
        <w:rPr>
          <w:rStyle w:val="19"/>
          <w:rFonts w:hint="eastAsia"/>
          <w:b w:val="0"/>
          <w:kern w:val="0"/>
        </w:rPr>
        <w:t>覆盖全区、高效集约</w:t>
      </w:r>
      <w:r>
        <w:rPr>
          <w:rFonts w:hint="eastAsia"/>
          <w:kern w:val="0"/>
        </w:rPr>
        <w:t>的低空物流配送网络。推广“无人机+智能机巢+轨道接驳”空地一体新模式，开展生鲜速配、应急物资投送、工业零部件转运等示范应用，打造区域性低空物流枢纽。</w:t>
      </w:r>
    </w:p>
    <w:p w14:paraId="13D388CE">
      <w:pPr>
        <w:keepNext w:val="0"/>
        <w:keepLines w:val="0"/>
        <w:pageBreakBefore w:val="0"/>
        <w:widowControl/>
        <w:wordWrap/>
        <w:topLinePunct w:val="0"/>
        <w:bidi w:val="0"/>
        <w:spacing w:line="560" w:lineRule="exact"/>
        <w:ind w:firstLine="643"/>
        <w:jc w:val="left"/>
        <w:rPr>
          <w:rStyle w:val="19"/>
          <w:b w:val="0"/>
          <w:kern w:val="0"/>
        </w:rPr>
      </w:pPr>
      <w:r>
        <w:rPr>
          <w:rStyle w:val="19"/>
          <w:rFonts w:hint="eastAsia"/>
          <w:bCs/>
          <w:kern w:val="0"/>
        </w:rPr>
        <w:t>培育低空消费场景</w:t>
      </w:r>
      <w:r>
        <w:rPr>
          <w:rFonts w:hint="eastAsia"/>
          <w:b/>
          <w:bCs/>
          <w:kern w:val="0"/>
        </w:rPr>
        <w:t>。</w:t>
      </w:r>
      <w:r>
        <w:rPr>
          <w:rFonts w:hint="eastAsia"/>
          <w:kern w:val="0"/>
        </w:rPr>
        <w:t>整合自然与人文资源，开发空中游览、航空运动、航拍航摄、无人机编队表演、</w:t>
      </w:r>
      <w:r>
        <w:rPr>
          <w:rStyle w:val="19"/>
          <w:rFonts w:hint="eastAsia"/>
          <w:b w:val="0"/>
          <w:kern w:val="0"/>
        </w:rPr>
        <w:t>低空研学</w:t>
      </w:r>
      <w:r>
        <w:rPr>
          <w:rFonts w:hint="eastAsia"/>
          <w:kern w:val="0"/>
        </w:rPr>
        <w:t>等特色产品。重点打造</w:t>
      </w:r>
      <w:r>
        <w:rPr>
          <w:rStyle w:val="19"/>
          <w:rFonts w:hint="eastAsia"/>
          <w:b w:val="0"/>
          <w:kern w:val="0"/>
        </w:rPr>
        <w:t>“沿黄低空旅游廊道”，开通湖光山色、田园风光等精品航线，打造 “低空+文旅”融合示范区，释放消费新动能。</w:t>
      </w:r>
    </w:p>
    <w:p w14:paraId="67EDE349">
      <w:pPr>
        <w:keepNext w:val="0"/>
        <w:keepLines w:val="0"/>
        <w:pageBreakBefore w:val="0"/>
        <w:widowControl/>
        <w:wordWrap/>
        <w:topLinePunct w:val="0"/>
        <w:bidi w:val="0"/>
        <w:spacing w:line="560" w:lineRule="exact"/>
        <w:ind w:firstLine="643"/>
        <w:jc w:val="left"/>
      </w:pPr>
      <w:r>
        <w:rPr>
          <w:rFonts w:hint="eastAsia"/>
          <w:b/>
          <w:bCs/>
          <w:kern w:val="0"/>
        </w:rPr>
        <w:t>强化关键技术攻关。</w:t>
      </w:r>
      <w:r>
        <w:rPr>
          <w:rFonts w:hint="eastAsia"/>
          <w:kern w:val="0"/>
        </w:rPr>
        <w:t>深化校企协同合作，共建</w:t>
      </w:r>
      <w:r>
        <w:rPr>
          <w:rStyle w:val="19"/>
          <w:rFonts w:hint="eastAsia"/>
          <w:b w:val="0"/>
          <w:kern w:val="0"/>
        </w:rPr>
        <w:t>产学研平台，开展低空领域高可靠飞控、长续航电池、轻量化材料、智能空管等关键技术研发</w:t>
      </w:r>
      <w:r>
        <w:rPr>
          <w:rFonts w:hint="eastAsia"/>
          <w:kern w:val="0"/>
        </w:rPr>
        <w:t>。支持企业建设工程技术中心、中试基地，推动技术成果本地转化，培育一批 “专精特新” 企业。</w:t>
      </w:r>
    </w:p>
    <w:p w14:paraId="02D5F95E">
      <w:pPr>
        <w:keepNext w:val="0"/>
        <w:keepLines w:val="0"/>
        <w:pageBreakBefore w:val="0"/>
        <w:wordWrap/>
        <w:topLinePunct w:val="0"/>
        <w:bidi w:val="0"/>
        <w:spacing w:line="560" w:lineRule="exact"/>
        <w:ind w:firstLine="643"/>
        <w:jc w:val="left"/>
      </w:pPr>
      <w:r>
        <w:rPr>
          <w:rFonts w:hint="eastAsia"/>
          <w:b/>
          <w:bCs/>
          <w:kern w:val="0"/>
        </w:rPr>
        <w:t>健全人才引育体系。</w:t>
      </w:r>
      <w:r>
        <w:rPr>
          <w:rFonts w:hint="eastAsia"/>
          <w:kern w:val="0"/>
        </w:rPr>
        <w:t>对接产业需求，支持高校开设</w:t>
      </w:r>
      <w:r>
        <w:rPr>
          <w:rStyle w:val="19"/>
          <w:rFonts w:hint="eastAsia"/>
          <w:b w:val="0"/>
          <w:kern w:val="0"/>
        </w:rPr>
        <w:t>无人机应用、空管技术、航空维修、低空运营管理</w:t>
      </w:r>
      <w:r>
        <w:rPr>
          <w:rFonts w:hint="eastAsia"/>
          <w:kern w:val="0"/>
        </w:rPr>
        <w:t>等专业方向，开展订单式技能培训。实施“低空人才计划”，精准引进高端人才与创新团队，打造区域性低空经济人才集聚地。</w:t>
      </w:r>
    </w:p>
    <w:p w14:paraId="20A8CA4A">
      <w:pPr>
        <w:keepNext w:val="0"/>
        <w:keepLines w:val="0"/>
        <w:pageBreakBefore w:val="0"/>
        <w:wordWrap/>
        <w:topLinePunct w:val="0"/>
        <w:bidi w:val="0"/>
        <w:spacing w:line="560" w:lineRule="exact"/>
        <w:ind w:firstLine="643"/>
        <w:jc w:val="left"/>
      </w:pPr>
      <w:r>
        <w:rPr>
          <w:rFonts w:hint="eastAsia"/>
          <w:b/>
          <w:bCs/>
          <w:kern w:val="0"/>
        </w:rPr>
        <w:t>完善基础设施体系。</w:t>
      </w:r>
      <w:r>
        <w:rPr>
          <w:rFonts w:hint="eastAsia"/>
          <w:kern w:val="0"/>
        </w:rPr>
        <w:t>结合产业布局与场景需求，做好基础设施统</w:t>
      </w:r>
      <w:r>
        <w:rPr>
          <w:rStyle w:val="19"/>
          <w:rFonts w:hint="eastAsia"/>
          <w:bCs/>
          <w:kern w:val="0"/>
        </w:rPr>
        <w:t>筹规划、分步实施</w:t>
      </w:r>
      <w:r>
        <w:rPr>
          <w:rFonts w:hint="eastAsia"/>
          <w:kern w:val="0"/>
        </w:rPr>
        <w:t>，争取建设</w:t>
      </w:r>
      <w:r>
        <w:rPr>
          <w:rStyle w:val="19"/>
          <w:rFonts w:hint="eastAsia"/>
          <w:b w:val="0"/>
          <w:kern w:val="0"/>
        </w:rPr>
        <w:t>无人机起降点、智能机巢、垂直起降场、低空飞行服务站</w:t>
      </w:r>
      <w:r>
        <w:rPr>
          <w:rFonts w:hint="eastAsia"/>
          <w:kern w:val="0"/>
        </w:rPr>
        <w:t>等设施，构建“</w:t>
      </w:r>
      <w:r>
        <w:rPr>
          <w:rStyle w:val="19"/>
          <w:rFonts w:hint="eastAsia"/>
          <w:bCs/>
          <w:kern w:val="0"/>
        </w:rPr>
        <w:t>骨干节点+终端网点</w:t>
      </w:r>
      <w:r>
        <w:rPr>
          <w:rFonts w:hint="eastAsia"/>
          <w:kern w:val="0"/>
        </w:rPr>
        <w:t>”的起降保障体系。积极融入全市低空智联网，提升空域精细化管理与安全监管能力，保障飞行活动安全有序。</w:t>
      </w:r>
    </w:p>
    <w:p w14:paraId="34CAC349">
      <w:pPr>
        <w:pStyle w:val="4"/>
        <w:keepNext w:val="0"/>
        <w:keepLines w:val="0"/>
        <w:pageBreakBefore w:val="0"/>
        <w:wordWrap/>
        <w:topLinePunct w:val="0"/>
        <w:bidi w:val="0"/>
        <w:spacing w:line="560" w:lineRule="exact"/>
      </w:pPr>
      <w:bookmarkStart w:id="49" w:name="_Toc1519925115"/>
      <w:bookmarkStart w:id="50" w:name="_Toc1617955336"/>
      <w:bookmarkStart w:id="51" w:name="_Toc233272363"/>
      <w:r>
        <w:rPr>
          <w:rFonts w:hint="eastAsia"/>
        </w:rPr>
        <w:t>第四节  优化提升传统产业</w:t>
      </w:r>
      <w:bookmarkEnd w:id="49"/>
      <w:bookmarkEnd w:id="50"/>
      <w:bookmarkEnd w:id="51"/>
    </w:p>
    <w:p w14:paraId="203558B9">
      <w:pPr>
        <w:keepNext w:val="0"/>
        <w:keepLines w:val="0"/>
        <w:pageBreakBefore w:val="0"/>
        <w:wordWrap/>
        <w:topLinePunct w:val="0"/>
        <w:bidi w:val="0"/>
        <w:spacing w:line="560" w:lineRule="exact"/>
        <w:ind w:firstLine="640"/>
      </w:pPr>
      <w:bookmarkStart w:id="52" w:name="_Toc7359088"/>
      <w:r>
        <w:rPr>
          <w:rFonts w:hint="eastAsia"/>
        </w:rPr>
        <w:t>聚焦建筑业、压力容器等现有传统产业基础，推动转型升级、提质增效，通过技术创新改造等方式，重塑竞争新优势。</w:t>
      </w:r>
    </w:p>
    <w:p w14:paraId="30F68031">
      <w:pPr>
        <w:keepNext w:val="0"/>
        <w:keepLines w:val="0"/>
        <w:pageBreakBefore w:val="0"/>
        <w:wordWrap/>
        <w:topLinePunct w:val="0"/>
        <w:bidi w:val="0"/>
        <w:spacing w:line="560" w:lineRule="exact"/>
        <w:ind w:firstLine="640"/>
        <w:rPr>
          <w:rFonts w:ascii="楷体_GB2312" w:hAnsi="楷体_GB2312" w:eastAsia="楷体_GB2312" w:cs="楷体_GB2312"/>
        </w:rPr>
      </w:pPr>
      <w:bookmarkStart w:id="53" w:name="_Toc899002176"/>
      <w:r>
        <w:rPr>
          <w:rFonts w:hint="eastAsia" w:ascii="楷体_GB2312" w:hAnsi="楷体_GB2312" w:eastAsia="楷体_GB2312" w:cs="楷体_GB2312"/>
        </w:rPr>
        <w:t>一、建筑业</w:t>
      </w:r>
      <w:bookmarkEnd w:id="53"/>
    </w:p>
    <w:p w14:paraId="370070FF">
      <w:pPr>
        <w:keepNext w:val="0"/>
        <w:keepLines w:val="0"/>
        <w:pageBreakBefore w:val="0"/>
        <w:wordWrap/>
        <w:topLinePunct w:val="0"/>
        <w:bidi w:val="0"/>
        <w:spacing w:line="560" w:lineRule="exact"/>
        <w:ind w:firstLine="640"/>
        <w:rPr>
          <w:b/>
          <w:bCs/>
        </w:rPr>
      </w:pPr>
      <w:r>
        <w:rPr>
          <w:rFonts w:hint="eastAsia"/>
        </w:rPr>
        <w:t>以“聚焦精准赛道、转型智能绿色、整合产业链发展”为核心方向，推动产业从“单一扩规模”向“精准强特色”转变，从“同质竞争”向“差异突围”升级，开创建筑业高质量发展新格局。</w:t>
      </w:r>
    </w:p>
    <w:p w14:paraId="23679C49">
      <w:pPr>
        <w:keepNext w:val="0"/>
        <w:keepLines w:val="0"/>
        <w:pageBreakBefore w:val="0"/>
        <w:wordWrap/>
        <w:topLinePunct w:val="0"/>
        <w:bidi w:val="0"/>
        <w:spacing w:line="560" w:lineRule="exact"/>
        <w:ind w:firstLine="643"/>
      </w:pPr>
      <w:r>
        <w:rPr>
          <w:rFonts w:hint="eastAsia"/>
          <w:b/>
          <w:bCs/>
        </w:rPr>
        <w:t>锚定细分赛道。</w:t>
      </w:r>
      <w:r>
        <w:rPr>
          <w:rFonts w:hint="eastAsia"/>
        </w:rPr>
        <w:t>鼓励建筑业企业布局三大特色赛道：一是园区配套建造赛道，聚焦重点园区载体，主攻标准化厂房、智能车间建设。二是绿色建筑赛道，聚焦文旅康养、乡村振兴场景，开发超低能耗民宿、景区绿色配套工程等特色产品。三是城市更新赛道，重点承接老旧小区改造、基础设施升级等民生工程，形成“民生工程专业化服务商”集群。围绕三大细分赛道，出台专项配套扶持政策，明确各赛道发展重点与实施方向，引导企业精准对接市场、有序布局业务，避免企业同质化竞争。</w:t>
      </w:r>
    </w:p>
    <w:p w14:paraId="68B2AA78">
      <w:pPr>
        <w:keepNext w:val="0"/>
        <w:keepLines w:val="0"/>
        <w:pageBreakBefore w:val="0"/>
        <w:wordWrap/>
        <w:topLinePunct w:val="0"/>
        <w:bidi w:val="0"/>
        <w:spacing w:line="560" w:lineRule="exact"/>
        <w:ind w:firstLine="643"/>
        <w:rPr>
          <w:kern w:val="0"/>
        </w:rPr>
      </w:pPr>
      <w:r>
        <w:rPr>
          <w:b/>
          <w:bCs/>
        </w:rPr>
        <w:t>分类推进企业转型</w:t>
      </w:r>
      <w:r>
        <w:rPr>
          <w:rFonts w:hint="eastAsia"/>
          <w:b/>
          <w:bCs/>
        </w:rPr>
        <w:t>。</w:t>
      </w:r>
      <w:r>
        <w:rPr>
          <w:rFonts w:hint="eastAsia"/>
        </w:rPr>
        <w:t>支持建筑业企业打造专属优势，提升差异化核心竞争力。</w:t>
      </w:r>
      <w:r>
        <w:t>引导房建企业向水利设施、钢结构装配式、园林景观领域延伸；支持机电安装企业切入新能源电力设施、石油化工设备安装等高附加值赛道。组织企业赴长三角、大湾区开展智能建造与工业化协同专题对标</w:t>
      </w:r>
      <w:r>
        <w:rPr>
          <w:rFonts w:hint="eastAsia"/>
        </w:rPr>
        <w:t>学习</w:t>
      </w:r>
      <w:r>
        <w:t>，</w:t>
      </w:r>
      <w:r>
        <w:rPr>
          <w:rFonts w:hint="eastAsia"/>
        </w:rPr>
        <w:t>促进企业转型发展</w:t>
      </w:r>
      <w:r>
        <w:t>。</w:t>
      </w:r>
      <w:r>
        <w:rPr>
          <w:rFonts w:hint="eastAsia"/>
        </w:rPr>
        <w:t>搭建本地智能建造、绿色建筑实操培训平台，重点推广装配式建筑、智慧工地、低碳施工等实用技术。积极开展政策指导、法务咨询、现代化管理培训服务，支持</w:t>
      </w:r>
      <w:r>
        <w:t>民营企业</w:t>
      </w:r>
      <w:r>
        <w:rPr>
          <w:rFonts w:hint="eastAsia"/>
        </w:rPr>
        <w:t>实行</w:t>
      </w:r>
      <w:r>
        <w:t>精益化管理</w:t>
      </w:r>
      <w:r>
        <w:rPr>
          <w:rFonts w:hint="eastAsia"/>
        </w:rPr>
        <w:t>、</w:t>
      </w:r>
      <w:r>
        <w:t>职业经理人制度，完善项目风险预警、成本管控、人才激励三位一体内控体系。</w:t>
      </w:r>
      <w:r>
        <w:rPr>
          <w:rFonts w:hint="eastAsia"/>
          <w:kern w:val="0"/>
        </w:rPr>
        <w:t>着力优化营商环境，</w:t>
      </w:r>
      <w:r>
        <w:rPr>
          <w:rFonts w:hint="eastAsia"/>
        </w:rPr>
        <w:t>拓宽企业融资渠道，破解企业经营难题，减轻企业经营负担。坚</w:t>
      </w:r>
      <w:r>
        <w:rPr>
          <w:rFonts w:hint="eastAsia"/>
          <w:kern w:val="0"/>
        </w:rPr>
        <w:t>持绿色低碳理念，推动绿色建筑规模化发展，提升城镇新建民用建筑绿色建筑占比。</w:t>
      </w:r>
    </w:p>
    <w:p w14:paraId="1E15F773">
      <w:pPr>
        <w:keepNext w:val="0"/>
        <w:keepLines w:val="0"/>
        <w:pageBreakBefore w:val="0"/>
        <w:wordWrap/>
        <w:topLinePunct w:val="0"/>
        <w:bidi w:val="0"/>
        <w:spacing w:line="560" w:lineRule="exact"/>
        <w:ind w:firstLine="643"/>
        <w:rPr>
          <w:rFonts w:ascii="楷体_GB2312" w:hAnsi="楷体_GB2312" w:eastAsia="楷体_GB2312" w:cs="楷体_GB2312"/>
          <w:b/>
          <w:bCs/>
        </w:rPr>
      </w:pPr>
      <w:r>
        <w:rPr>
          <w:rFonts w:hint="eastAsia"/>
          <w:b/>
          <w:bCs/>
        </w:rPr>
        <w:t>开拓国际市场。</w:t>
      </w:r>
      <w:r>
        <w:rPr>
          <w:rFonts w:hint="eastAsia"/>
        </w:rPr>
        <w:t>深耕“一带一路”市场，借力中亚区域经济合作机制，</w:t>
      </w:r>
      <w:r>
        <w:rPr>
          <w:rFonts w:hint="eastAsia"/>
          <w:bCs/>
          <w:spacing w:val="2"/>
        </w:rPr>
        <w:t>发挥“中国建筑之乡”品牌及特级、一级企业优势，</w:t>
      </w:r>
      <w:r>
        <w:rPr>
          <w:rFonts w:hint="eastAsia"/>
        </w:rPr>
        <w:t>组织企业对接国外基建项目，</w:t>
      </w:r>
      <w:r>
        <w:rPr>
          <w:rFonts w:hint="eastAsia"/>
          <w:bCs/>
          <w:spacing w:val="2"/>
        </w:rPr>
        <w:t>向新兴市场地区拓展业务。</w:t>
      </w:r>
      <w:r>
        <w:rPr>
          <w:rFonts w:hint="eastAsia"/>
        </w:rPr>
        <w:t>创新区域协作模式，为企业提供涉外政策解读、法务咨询、汇率风险防控、投融资对接等服务，搭建产业链供需对接平台，推动本土建筑企业在钢结构装配式建筑、新能源基建等领域专项合作，实现“设计+施工+金融”联合出海。</w:t>
      </w:r>
    </w:p>
    <w:p w14:paraId="159FC69E">
      <w:pPr>
        <w:keepNext w:val="0"/>
        <w:keepLines w:val="0"/>
        <w:pageBreakBefore w:val="0"/>
        <w:wordWrap/>
        <w:topLinePunct w:val="0"/>
        <w:bidi w:val="0"/>
        <w:spacing w:line="560" w:lineRule="exact"/>
        <w:ind w:firstLine="643"/>
        <w:rPr>
          <w:rFonts w:ascii="楷体_GB2312" w:hAnsi="楷体_GB2312" w:eastAsia="楷体_GB2312" w:cs="楷体_GB2312"/>
          <w:b/>
          <w:bCs/>
        </w:rPr>
      </w:pPr>
      <w:r>
        <w:rPr>
          <w:rFonts w:hint="eastAsia"/>
          <w:b/>
          <w:bCs/>
        </w:rPr>
        <w:t>构建协同生态。</w:t>
      </w:r>
      <w:r>
        <w:rPr>
          <w:rFonts w:hint="eastAsia"/>
        </w:rPr>
        <w:t>组建建筑产业协同平台，整合设计、施工、建材、运维企业资源，推行“专业分工+抱团发展”模式，鼓励中小企业聚焦装配式构件生产等细分领域，培育专精特新企业。鼓励企业加大智能建造、绿色建材、低碳施工等核心技术联合研发，推动科研成果就地转化应用。引导龙头企业从“全链条承包”转向“核心环节掌控+配套外包”，避免企业盲目扩张。依托校地合作共建智能建造实验室，联合攻关技术瓶颈，提升企业研发效益。</w:t>
      </w:r>
    </w:p>
    <w:p w14:paraId="6E432FE1">
      <w:pPr>
        <w:keepNext w:val="0"/>
        <w:keepLines w:val="0"/>
        <w:pageBreakBefore w:val="0"/>
        <w:wordWrap/>
        <w:topLinePunct w:val="0"/>
        <w:bidi w:val="0"/>
        <w:spacing w:line="560" w:lineRule="exact"/>
        <w:ind w:firstLine="640"/>
        <w:rPr>
          <w:rFonts w:ascii="楷体_GB2312" w:hAnsi="楷体_GB2312" w:eastAsia="楷体_GB2312" w:cs="楷体_GB2312"/>
        </w:rPr>
      </w:pPr>
      <w:r>
        <w:rPr>
          <w:rFonts w:hint="eastAsia" w:ascii="楷体_GB2312" w:hAnsi="楷体_GB2312" w:eastAsia="楷体_GB2312" w:cs="楷体_GB2312"/>
        </w:rPr>
        <w:t>二、压力容器产业</w:t>
      </w:r>
      <w:bookmarkEnd w:id="52"/>
    </w:p>
    <w:p w14:paraId="60EE2E77">
      <w:pPr>
        <w:keepNext w:val="0"/>
        <w:keepLines w:val="0"/>
        <w:pageBreakBefore w:val="0"/>
        <w:wordWrap/>
        <w:topLinePunct w:val="0"/>
        <w:bidi w:val="0"/>
        <w:spacing w:line="560" w:lineRule="exact"/>
        <w:ind w:firstLine="640"/>
      </w:pPr>
      <w:r>
        <w:t>以“高端产品聚焦、智能精益生产、场景深度绑定”为核心方向，推动产业从“通用制造”向“特种定制”转型，从“规模比拼”向“技术突围”升级，建成华北地区新能源与特种压力容器</w:t>
      </w:r>
      <w:r>
        <w:rPr>
          <w:rFonts w:hint="eastAsia"/>
        </w:rPr>
        <w:t>特色</w:t>
      </w:r>
      <w:r>
        <w:t>生产基地。</w:t>
      </w:r>
    </w:p>
    <w:p w14:paraId="544CF1BE">
      <w:pPr>
        <w:keepNext w:val="0"/>
        <w:keepLines w:val="0"/>
        <w:pageBreakBefore w:val="0"/>
        <w:wordWrap/>
        <w:topLinePunct w:val="0"/>
        <w:bidi w:val="0"/>
        <w:spacing w:line="560" w:lineRule="exact"/>
        <w:ind w:firstLine="643"/>
      </w:pPr>
      <w:r>
        <w:rPr>
          <w:b/>
          <w:bCs/>
        </w:rPr>
        <w:t>聚焦高端场景，</w:t>
      </w:r>
      <w:r>
        <w:rPr>
          <w:rFonts w:hint="eastAsia"/>
          <w:b/>
          <w:bCs/>
        </w:rPr>
        <w:t>布局</w:t>
      </w:r>
      <w:r>
        <w:rPr>
          <w:b/>
          <w:bCs/>
        </w:rPr>
        <w:t>差异化产业赛道</w:t>
      </w:r>
      <w:r>
        <w:rPr>
          <w:rFonts w:hint="eastAsia"/>
          <w:b/>
          <w:bCs/>
        </w:rPr>
        <w:t>。一是</w:t>
      </w:r>
      <w:r>
        <w:rPr>
          <w:b/>
          <w:bCs/>
        </w:rPr>
        <w:t>储能压力容器赛道</w:t>
      </w:r>
      <w:r>
        <w:rPr>
          <w:rFonts w:hint="eastAsia"/>
          <w:b/>
          <w:bCs/>
        </w:rPr>
        <w:t>，</w:t>
      </w:r>
      <w:r>
        <w:t>支持企业</w:t>
      </w:r>
      <w:r>
        <w:rPr>
          <w:rFonts w:hint="eastAsia"/>
        </w:rPr>
        <w:t>加大技术研发</w:t>
      </w:r>
      <w:r>
        <w:t>，建</w:t>
      </w:r>
      <w:r>
        <w:rPr>
          <w:rFonts w:hint="eastAsia"/>
        </w:rPr>
        <w:t>立</w:t>
      </w:r>
      <w:r>
        <w:t>本地化“研发</w:t>
      </w:r>
      <w:r>
        <w:rPr>
          <w:rFonts w:hint="eastAsia"/>
        </w:rPr>
        <w:t>-</w:t>
      </w:r>
      <w:r>
        <w:t>测试</w:t>
      </w:r>
      <w:r>
        <w:rPr>
          <w:rFonts w:hint="eastAsia"/>
        </w:rPr>
        <w:t>-</w:t>
      </w:r>
      <w:r>
        <w:t>应用”闭环平台，推动产品在</w:t>
      </w:r>
      <w:r>
        <w:rPr>
          <w:rFonts w:hint="eastAsia"/>
        </w:rPr>
        <w:t>多种</w:t>
      </w:r>
      <w:r>
        <w:t>场景</w:t>
      </w:r>
      <w:r>
        <w:rPr>
          <w:rFonts w:hint="eastAsia"/>
        </w:rPr>
        <w:t>应用</w:t>
      </w:r>
      <w:r>
        <w:t>落地。</w:t>
      </w:r>
      <w:r>
        <w:rPr>
          <w:rFonts w:hint="eastAsia"/>
          <w:b/>
          <w:bCs/>
        </w:rPr>
        <w:t>二是</w:t>
      </w:r>
      <w:r>
        <w:rPr>
          <w:b/>
          <w:bCs/>
        </w:rPr>
        <w:t>核电特种容器赛道</w:t>
      </w:r>
      <w:r>
        <w:rPr>
          <w:rFonts w:hint="eastAsia"/>
          <w:b/>
          <w:bCs/>
        </w:rPr>
        <w:t>，</w:t>
      </w:r>
      <w:r>
        <w:t>鼓励企业研发核级</w:t>
      </w:r>
      <w:r>
        <w:rPr>
          <w:rFonts w:hint="eastAsia"/>
        </w:rPr>
        <w:t>赛道</w:t>
      </w:r>
      <w:r>
        <w:t>关键装备。推动企业深化与中核、国电投等央企供应链协作。</w:t>
      </w:r>
      <w:r>
        <w:rPr>
          <w:rFonts w:hint="eastAsia"/>
          <w:b/>
          <w:bCs/>
        </w:rPr>
        <w:t>三是</w:t>
      </w:r>
      <w:r>
        <w:rPr>
          <w:b/>
          <w:bCs/>
        </w:rPr>
        <w:t>特种储运装备赛道</w:t>
      </w:r>
      <w:r>
        <w:rPr>
          <w:rFonts w:hint="eastAsia"/>
          <w:b/>
          <w:bCs/>
        </w:rPr>
        <w:t>，</w:t>
      </w:r>
      <w:r>
        <w:rPr>
          <w:rFonts w:hint="eastAsia"/>
        </w:rPr>
        <w:t>聚焦高温、高压、强腐蚀、超低温等特种场景，</w:t>
      </w:r>
      <w:r>
        <w:t>引导企业向化工、氢能、深冷、医药等</w:t>
      </w:r>
      <w:r>
        <w:rPr>
          <w:rFonts w:hint="eastAsia"/>
        </w:rPr>
        <w:t>高端</w:t>
      </w:r>
      <w:r>
        <w:t>领域拓展</w:t>
      </w:r>
      <w:r>
        <w:rPr>
          <w:rFonts w:hint="eastAsia"/>
        </w:rPr>
        <w:t>，重点发展加氢反应器、大型换热器、超低温LNG储罐、高参数分离器等产品</w:t>
      </w:r>
      <w:r>
        <w:t>。</w:t>
      </w:r>
    </w:p>
    <w:p w14:paraId="20F8F7FB">
      <w:pPr>
        <w:keepNext w:val="0"/>
        <w:keepLines w:val="0"/>
        <w:pageBreakBefore w:val="0"/>
        <w:wordWrap/>
        <w:topLinePunct w:val="0"/>
        <w:bidi w:val="0"/>
        <w:spacing w:line="560" w:lineRule="exact"/>
        <w:ind w:firstLine="643"/>
      </w:pPr>
      <w:r>
        <w:rPr>
          <w:b/>
          <w:bCs/>
        </w:rPr>
        <w:t>推进智能精益生产，夯实产业竞争力</w:t>
      </w:r>
      <w:r>
        <w:rPr>
          <w:rFonts w:hint="eastAsia"/>
          <w:b/>
          <w:bCs/>
        </w:rPr>
        <w:t>。</w:t>
      </w:r>
      <w:r>
        <w:rPr>
          <w:kern w:val="0"/>
        </w:rPr>
        <w:t>推动企业普及数控精密切割、</w:t>
      </w:r>
      <w:r>
        <w:t>自动焊接机器人等智能装备，</w:t>
      </w:r>
      <w:r>
        <w:rPr>
          <w:rFonts w:hint="eastAsia"/>
        </w:rPr>
        <w:t>建设MES+智能排料+AGV板材流转+关键焊缝质量在线监测的示范工厂</w:t>
      </w:r>
      <w:r>
        <w:t>。</w:t>
      </w:r>
      <w:r>
        <w:rPr>
          <w:rFonts w:hint="eastAsia"/>
        </w:rPr>
        <w:t>鼓励企业开</w:t>
      </w:r>
      <w:r>
        <w:t>展智能化技改诊断，搭建全流程数字化平台</w:t>
      </w:r>
      <w:r>
        <w:rPr>
          <w:rFonts w:hint="eastAsia"/>
        </w:rPr>
        <w:t>，</w:t>
      </w:r>
      <w:r>
        <w:t>提升产品合格率</w:t>
      </w:r>
      <w:r>
        <w:rPr>
          <w:rFonts w:hint="eastAsia"/>
        </w:rPr>
        <w:t>、</w:t>
      </w:r>
      <w:r>
        <w:t>产能利用率。推行以“小批量、定制化”为特征的柔性生产模式，引导企业从“批量生产”转向为新能源、核电等高端场景提供个性化解决方案。鼓励企业引入精益管理体系，压缩生产周期、降低库存成本，</w:t>
      </w:r>
      <w:r>
        <w:rPr>
          <w:rFonts w:hint="eastAsia"/>
        </w:rPr>
        <w:t>提升</w:t>
      </w:r>
      <w:r>
        <w:t>产品附加值。</w:t>
      </w:r>
    </w:p>
    <w:p w14:paraId="4288E966">
      <w:pPr>
        <w:keepNext w:val="0"/>
        <w:keepLines w:val="0"/>
        <w:pageBreakBefore w:val="0"/>
        <w:wordWrap/>
        <w:topLinePunct w:val="0"/>
        <w:bidi w:val="0"/>
        <w:spacing w:line="560" w:lineRule="exact"/>
        <w:ind w:firstLine="643"/>
      </w:pPr>
      <w:r>
        <w:rPr>
          <w:b/>
          <w:bCs/>
        </w:rPr>
        <w:t>深化产业链协同，构建区域生态体系</w:t>
      </w:r>
      <w:r>
        <w:rPr>
          <w:rFonts w:hint="eastAsia"/>
          <w:b/>
          <w:bCs/>
        </w:rPr>
        <w:t>。</w:t>
      </w:r>
      <w:r>
        <w:t>依托“链长制”</w:t>
      </w:r>
      <w:r>
        <w:rPr>
          <w:rFonts w:hint="eastAsia"/>
        </w:rPr>
        <w:t>，</w:t>
      </w:r>
      <w:r>
        <w:t>推动“核心部件自主化+配套环节外包”，支持龙头企业牵头</w:t>
      </w:r>
      <w:r>
        <w:rPr>
          <w:rFonts w:hint="eastAsia"/>
        </w:rPr>
        <w:t>搭建专业人才沟通平台，推动建立资源共享、优势互补的产业链联合体。推动</w:t>
      </w:r>
      <w:r>
        <w:t>公共平台赋能</w:t>
      </w:r>
      <w:r>
        <w:rPr>
          <w:rFonts w:hint="eastAsia"/>
        </w:rPr>
        <w:t>，</w:t>
      </w:r>
      <w:r>
        <w:t>整合高校检测设备、共享实验室，促进产学研协同攻关，降低中小企业研发成本。</w:t>
      </w:r>
    </w:p>
    <w:p w14:paraId="22C5F943">
      <w:pPr>
        <w:keepNext w:val="0"/>
        <w:keepLines w:val="0"/>
        <w:pageBreakBefore w:val="0"/>
        <w:widowControl/>
        <w:wordWrap/>
        <w:topLinePunct w:val="0"/>
        <w:bidi w:val="0"/>
        <w:spacing w:line="560" w:lineRule="exact"/>
        <w:ind w:firstLine="643"/>
        <w:jc w:val="left"/>
      </w:pPr>
      <w:r>
        <w:rPr>
          <w:b/>
          <w:bCs/>
        </w:rPr>
        <w:t>引导拓展国际市场，构建开放型产业体系</w:t>
      </w:r>
      <w:r>
        <w:rPr>
          <w:rFonts w:hint="eastAsia"/>
          <w:b/>
          <w:bCs/>
        </w:rPr>
        <w:t>。</w:t>
      </w:r>
      <w:r>
        <w:t>支持企业携手工程建设、能源运营等企业“抱团出海”，重点布局东南亚、中东等新兴能源市场，同步拓展欧盟等高端市场</w:t>
      </w:r>
      <w:r>
        <w:rPr>
          <w:rFonts w:hint="eastAsia"/>
        </w:rPr>
        <w:t>。支持龙头企业牵头聘请国际授权检验机构集中开展欧盟PED、EN13445 等体系辅导，提升产品</w:t>
      </w:r>
      <w:r>
        <w:t>国际竞争力与合规出口能力。鼓励企业参加国际行业展会，拓展技术服务输出，推动从“产品出口”向“技术+</w:t>
      </w:r>
      <w:r>
        <w:rPr>
          <w:rFonts w:hint="eastAsia"/>
        </w:rPr>
        <w:t>服务</w:t>
      </w:r>
      <w:r>
        <w:t>”出海升级，形成以欧盟市场为</w:t>
      </w:r>
      <w:r>
        <w:rPr>
          <w:rFonts w:hint="eastAsia"/>
        </w:rPr>
        <w:t>代表</w:t>
      </w:r>
      <w:r>
        <w:t>的全球绿色供应链体系。</w:t>
      </w:r>
    </w:p>
    <w:p w14:paraId="333DF89B">
      <w:pPr>
        <w:pStyle w:val="4"/>
        <w:keepNext w:val="0"/>
        <w:keepLines w:val="0"/>
        <w:pageBreakBefore w:val="0"/>
        <w:wordWrap/>
        <w:topLinePunct w:val="0"/>
        <w:bidi w:val="0"/>
        <w:spacing w:line="560" w:lineRule="exact"/>
      </w:pPr>
      <w:bookmarkStart w:id="54" w:name="_Toc233272364"/>
      <w:r>
        <w:rPr>
          <w:rFonts w:hint="eastAsia"/>
        </w:rPr>
        <w:t>第五节  促进服务业优质高效发展</w:t>
      </w:r>
      <w:bookmarkEnd w:id="27"/>
      <w:bookmarkEnd w:id="28"/>
      <w:bookmarkEnd w:id="54"/>
    </w:p>
    <w:p w14:paraId="45F30F38">
      <w:pPr>
        <w:keepNext w:val="0"/>
        <w:keepLines w:val="0"/>
        <w:pageBreakBefore w:val="0"/>
        <w:wordWrap/>
        <w:topLinePunct w:val="0"/>
        <w:bidi w:val="0"/>
        <w:spacing w:line="560" w:lineRule="exact"/>
        <w:ind w:firstLine="640"/>
      </w:pPr>
      <w:r>
        <w:rPr>
          <w:rFonts w:hint="eastAsia"/>
        </w:rPr>
        <w:t>立足生产性服务业与生活性服务业双轮驱动，推动服务业向专业化、高端化、品质化转型，深化现代服务业与先进制造业、现代农业融合发展，全面推进服务业提质增效。</w:t>
      </w:r>
    </w:p>
    <w:p w14:paraId="24DD4932">
      <w:pPr>
        <w:keepNext w:val="0"/>
        <w:keepLines w:val="0"/>
        <w:pageBreakBefore w:val="0"/>
        <w:wordWrap/>
        <w:topLinePunct w:val="0"/>
        <w:bidi w:val="0"/>
        <w:spacing w:line="560" w:lineRule="exact"/>
        <w:ind w:firstLine="643"/>
      </w:pPr>
      <w:r>
        <w:rPr>
          <w:b/>
          <w:bCs/>
        </w:rPr>
        <w:t>推动生产性服务业向专业化和价值链高端延伸。</w:t>
      </w:r>
      <w:r>
        <w:rPr>
          <w:rFonts w:hint="eastAsia"/>
        </w:rPr>
        <w:t>围绕“3+2”产业发展需求，推动生产性服务业向专业化发展、价值链高端延伸，筑牢实体经济支撑。</w:t>
      </w:r>
      <w:r>
        <w:rPr>
          <w:rFonts w:hint="eastAsia"/>
          <w:b/>
          <w:bCs/>
        </w:rPr>
        <w:t>打造科技服务业集群，</w:t>
      </w:r>
      <w:r>
        <w:rPr>
          <w:rFonts w:hint="eastAsia"/>
        </w:rPr>
        <w:t>发挥大学城科创资源优势，深化产学研融合，重点发展研发设计、技术创新、成果转化等高附加值业态；聚焦“3+2”产业需求，谋划布局一批研发平台、协同创新中心、概念验证中心、重点实验室等载体平台，打造覆盖产品研发、中试验证、检验检测、评估认证、成果转化的全链条服务体系，推动科技服务业集群化发展。</w:t>
      </w:r>
      <w:r>
        <w:rPr>
          <w:rFonts w:hint="eastAsia"/>
          <w:b/>
          <w:bCs/>
        </w:rPr>
        <w:t>构建现代物流体系，</w:t>
      </w:r>
      <w:r>
        <w:rPr>
          <w:rFonts w:hint="eastAsia"/>
        </w:rPr>
        <w:t>完善城乡高效配送网络，统筹规划区、街道（镇）、村（居）三级物流配送体系，打通农产品上行、工业品下行双向通道，实现城乡物流服务一体化；打造专业物流载体，加快推进农批市场、圆通物流等项目进展，推动集仓储、分拨、配送于一体的现代化物流园区建设，培育发展智慧物流、冷链物流、供应链物流等专业化业态；赋能物流智慧升级，积极应用大数据、物联网等新一代信息技术，搭建物流信息共享平台，提升物流信息互联互通和智能化水平，有效降低区域物流综合成本。</w:t>
      </w:r>
      <w:r>
        <w:rPr>
          <w:rFonts w:hint="eastAsia"/>
          <w:b/>
          <w:bCs/>
        </w:rPr>
        <w:t>推动扩容强基，</w:t>
      </w:r>
      <w:r>
        <w:rPr>
          <w:rFonts w:hint="eastAsia"/>
        </w:rPr>
        <w:t>依托绿色金融总部等载体平台，布局引入多元金融机构，升级金融服务供给；引导人力资源、法律、咨询等商务服务业提升专业化水平，加大软件信息、创意设计等服务业企业的招引力度，推动生产性服务业扩能提质。</w:t>
      </w:r>
    </w:p>
    <w:p w14:paraId="0F53F365">
      <w:pPr>
        <w:pStyle w:val="15"/>
        <w:keepNext w:val="0"/>
        <w:keepLines w:val="0"/>
        <w:pageBreakBefore w:val="0"/>
        <w:wordWrap/>
        <w:topLinePunct w:val="0"/>
        <w:bidi w:val="0"/>
        <w:spacing w:line="560" w:lineRule="exact"/>
        <w:ind w:firstLine="643"/>
        <w:rPr>
          <w:rFonts w:ascii="仿宋_GB2312"/>
        </w:rPr>
      </w:pPr>
      <w:r>
        <w:rPr>
          <w:b/>
          <w:bCs/>
        </w:rPr>
        <w:t>推动生活性服务业向</w:t>
      </w:r>
      <w:r>
        <w:rPr>
          <w:rFonts w:hint="eastAsia"/>
          <w:b/>
          <w:bCs/>
        </w:rPr>
        <w:t>高品质、多样化、便利化发展。</w:t>
      </w:r>
      <w:r>
        <w:t>立足资源禀赋与产业基础，</w:t>
      </w:r>
      <w:r>
        <w:rPr>
          <w:rFonts w:hint="eastAsia"/>
        </w:rPr>
        <w:t>以</w:t>
      </w:r>
      <w:r>
        <w:t>高品质、</w:t>
      </w:r>
      <w:r>
        <w:rPr>
          <w:rFonts w:hint="eastAsia"/>
        </w:rPr>
        <w:t>多样化、便利化为导向，推动文体娱乐、教育培训、医养康养等服务业提档升级，</w:t>
      </w:r>
      <w:r>
        <w:t>构建特色鲜明、优质高效的生活服务供给体系。</w:t>
      </w:r>
      <w:r>
        <w:rPr>
          <w:rFonts w:hint="eastAsia"/>
          <w:b/>
          <w:bCs/>
        </w:rPr>
        <w:t>塑造品牌提升服务品质</w:t>
      </w:r>
      <w:r>
        <w:rPr>
          <w:rFonts w:hint="eastAsia"/>
        </w:rPr>
        <w:t>，</w:t>
      </w:r>
      <w:r>
        <w:t>强化“山水长清、齐鲁仙境”旅游品牌推广，深挖长清茶、木鱼石等特产价值，开发富有地方特色、具有品牌影响力的文旅商品</w:t>
      </w:r>
      <w:r>
        <w:rPr>
          <w:rFonts w:hint="eastAsia"/>
        </w:rPr>
        <w:t>；</w:t>
      </w:r>
      <w:r>
        <w:t>深化与高校产学研合作，共建实训基地与产业学院，提升服务专业化水平，推动生活性服务业向高端化升级</w:t>
      </w:r>
      <w:r>
        <w:rPr>
          <w:rFonts w:hint="eastAsia"/>
        </w:rPr>
        <w:t>。</w:t>
      </w:r>
      <w:r>
        <w:rPr>
          <w:rFonts w:hint="eastAsia"/>
          <w:b/>
          <w:bCs/>
        </w:rPr>
        <w:t>丰富多元服务业态</w:t>
      </w:r>
      <w:r>
        <w:rPr>
          <w:rFonts w:hint="eastAsia"/>
        </w:rPr>
        <w:t>，</w:t>
      </w:r>
      <w:r>
        <w:t>活化灵岩寺、五峰山等历史文化资源，开发“视听</w:t>
      </w:r>
      <w:r>
        <w:rPr>
          <w:rFonts w:hint="eastAsia" w:ascii="仿宋_GB2312"/>
        </w:rPr>
        <w:t>+</w:t>
      </w:r>
      <w:r>
        <w:t>文旅”特色产品；</w:t>
      </w:r>
      <w:r>
        <w:rPr>
          <w:rFonts w:hint="eastAsia" w:ascii="仿宋_GB2312"/>
        </w:rPr>
        <w:t>依托微短剧拍摄基地，积极引进网络视听类企业，完善覆盖内容创作、拍摄制作、后期特效的全流程产业链；鼓励微短剧IP向商业领域延伸，发展IP授权、衍生品开发等业务，拓宽服务边界，满足多元消费需求。培育发展OPC新型服务业态，支持单人专业服务、微型科创团队、专精化个体服务主体发展，提供办公场地、算力支持、创业服务、市场对接等全链条服务，推动AI+网络视听产业发展。</w:t>
      </w:r>
      <w:r>
        <w:rPr>
          <w:rFonts w:hint="eastAsia" w:ascii="仿宋_GB2312"/>
          <w:b/>
          <w:bCs/>
        </w:rPr>
        <w:t>提升服务便利水平</w:t>
      </w:r>
      <w:r>
        <w:rPr>
          <w:rFonts w:hint="eastAsia" w:ascii="仿宋_GB2312"/>
        </w:rPr>
        <w:t>，鼓励传统商贸企业拓展线上线下融合业务，支持直播电商、社交电商等新业态发展，依托普惠智能算力赋能智慧商贸、数字生活场景应用，打造智慧商圈、智慧门店；完善一刻钟便民生活圈，优化教育医疗、健康养老等资源布局，推动民生服务精细化、便利化发展，满足居民高品质、便捷度生活需求。</w:t>
      </w:r>
    </w:p>
    <w:p w14:paraId="004B70D6">
      <w:pPr>
        <w:keepNext w:val="0"/>
        <w:keepLines w:val="0"/>
        <w:pageBreakBefore w:val="0"/>
        <w:wordWrap/>
        <w:topLinePunct w:val="0"/>
        <w:bidi w:val="0"/>
        <w:spacing w:line="560" w:lineRule="exact"/>
        <w:ind w:firstLine="643"/>
      </w:pPr>
      <w:r>
        <w:rPr>
          <w:rFonts w:hint="eastAsia"/>
          <w:b/>
          <w:bCs/>
        </w:rPr>
        <w:t>推动现代服务业与先进制造业、现代农业融合发展</w:t>
      </w:r>
      <w:r>
        <w:rPr>
          <w:rFonts w:hint="eastAsia"/>
        </w:rPr>
        <w:t>。以数智赋能为核心，协同增效为目标，推动现代服务业与先进制造业、现代农业深度融合，构建“服务赋能产业、产业带动服务”的良性循环。支持装备制造、压力容器等制造业向“产品+服务”转型，延伸发展工业设计、供应链管理、工业互联网服务等，实现制造业链条延伸和价值增值；深化校企产学研合作，共建产业学院与实训基地，定向培养复合型技术人才，完善产业链协同发展生态。</w:t>
      </w:r>
      <w:r>
        <w:t>推广物联网、遥感监测技术，</w:t>
      </w:r>
      <w:r>
        <w:rPr>
          <w:rFonts w:hint="eastAsia"/>
        </w:rPr>
        <w:t>建设智慧农业基地项目</w:t>
      </w:r>
      <w:r>
        <w:t>，提升农业生产智能化水平；依托冷链物流</w:t>
      </w:r>
      <w:r>
        <w:rPr>
          <w:rFonts w:hint="eastAsia"/>
        </w:rPr>
        <w:t>，</w:t>
      </w:r>
      <w:r>
        <w:t>拓宽线上线下销售渠道</w:t>
      </w:r>
      <w:r>
        <w:rPr>
          <w:rFonts w:hint="eastAsia"/>
        </w:rPr>
        <w:t>，</w:t>
      </w:r>
      <w:r>
        <w:t>打通</w:t>
      </w:r>
      <w:r>
        <w:rPr>
          <w:rFonts w:hint="eastAsia"/>
        </w:rPr>
        <w:t>农产品“从田间到餐桌”</w:t>
      </w:r>
      <w:r>
        <w:t>产销通道；</w:t>
      </w:r>
      <w:r>
        <w:rPr>
          <w:rFonts w:hint="eastAsia"/>
        </w:rPr>
        <w:t>融合文旅服务业与特色农业，</w:t>
      </w:r>
      <w:r>
        <w:t>串联文旅资源与农业片区，开发“农事</w:t>
      </w:r>
      <w:r>
        <w:rPr>
          <w:rFonts w:hint="eastAsia"/>
        </w:rPr>
        <w:t>体验</w:t>
      </w:r>
      <w:r>
        <w:t>+文旅康养”</w:t>
      </w:r>
      <w:r>
        <w:rPr>
          <w:rFonts w:hint="eastAsia"/>
        </w:rPr>
        <w:t>沉浸式</w:t>
      </w:r>
      <w:r>
        <w:t>产品，延伸农业产业链附加值。</w:t>
      </w:r>
    </w:p>
    <w:tbl>
      <w:tblPr>
        <w:tblStyle w:val="17"/>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9288"/>
      </w:tblGrid>
      <w:tr w14:paraId="7747F3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288" w:type="dxa"/>
          </w:tcPr>
          <w:p w14:paraId="45CA12B4">
            <w:pPr>
              <w:keepNext w:val="0"/>
              <w:keepLines w:val="0"/>
              <w:pageBreakBefore w:val="0"/>
              <w:wordWrap/>
              <w:topLinePunct w:val="0"/>
              <w:bidi w:val="0"/>
              <w:spacing w:line="560" w:lineRule="exact"/>
              <w:ind w:firstLine="0" w:firstLineChars="0"/>
              <w:jc w:val="center"/>
              <w:rPr>
                <w:rFonts w:ascii="黑体" w:hAnsi="黑体" w:eastAsia="黑体" w:cs="黑体"/>
                <w:sz w:val="30"/>
                <w:szCs w:val="30"/>
              </w:rPr>
            </w:pPr>
            <w:r>
              <w:rPr>
                <w:rFonts w:hint="eastAsia" w:ascii="黑体" w:hAnsi="黑体" w:eastAsia="黑体" w:cs="黑体"/>
                <w:sz w:val="30"/>
                <w:szCs w:val="30"/>
              </w:rPr>
              <w:t>专栏4 现代服务业重点项目</w:t>
            </w:r>
          </w:p>
          <w:p w14:paraId="4A820FB3">
            <w:pPr>
              <w:pStyle w:val="5"/>
              <w:keepNext w:val="0"/>
              <w:keepLines w:val="0"/>
              <w:pageBreakBefore w:val="0"/>
              <w:wordWrap/>
              <w:topLinePunct w:val="0"/>
              <w:bidi w:val="0"/>
              <w:spacing w:after="0" w:line="560" w:lineRule="exact"/>
              <w:ind w:firstLine="560"/>
              <w:textAlignment w:val="baseline"/>
              <w:rPr>
                <w:rFonts w:ascii="黑体" w:hAnsi="黑体" w:eastAsia="黑体" w:cs="黑体"/>
                <w:sz w:val="28"/>
                <w:szCs w:val="28"/>
              </w:rPr>
            </w:pPr>
            <w:r>
              <w:rPr>
                <w:rFonts w:ascii="楷体_GB2312" w:hAnsi="楷体_GB2312" w:eastAsia="楷体_GB2312" w:cs="楷体_GB2312"/>
                <w:sz w:val="28"/>
                <w:szCs w:val="28"/>
              </w:rPr>
              <w:t>山东济清农产品智慧物流中心</w:t>
            </w:r>
            <w:r>
              <w:rPr>
                <w:rFonts w:hint="eastAsia" w:ascii="楷体_GB2312" w:hAnsi="楷体_GB2312" w:eastAsia="楷体_GB2312" w:cs="楷体_GB2312"/>
                <w:sz w:val="28"/>
                <w:szCs w:val="28"/>
              </w:rPr>
              <w:t>项目、</w:t>
            </w:r>
            <w:r>
              <w:rPr>
                <w:rFonts w:ascii="楷体_GB2312" w:hAnsi="楷体_GB2312" w:eastAsia="楷体_GB2312" w:cs="楷体_GB2312"/>
                <w:sz w:val="28"/>
                <w:szCs w:val="28"/>
              </w:rPr>
              <w:t>圆通济南科技智创园</w:t>
            </w:r>
            <w:r>
              <w:rPr>
                <w:rFonts w:hint="eastAsia" w:ascii="楷体_GB2312" w:hAnsi="楷体_GB2312" w:eastAsia="楷体_GB2312" w:cs="楷体_GB2312"/>
                <w:sz w:val="28"/>
                <w:szCs w:val="28"/>
              </w:rPr>
              <w:t>、</w:t>
            </w:r>
            <w:r>
              <w:rPr>
                <w:rFonts w:ascii="楷体_GB2312" w:hAnsi="楷体_GB2312" w:eastAsia="楷体_GB2312" w:cs="楷体_GB2312"/>
                <w:sz w:val="28"/>
                <w:szCs w:val="28"/>
              </w:rPr>
              <w:t>液体火箭发动机及动力系统测试基地</w:t>
            </w:r>
            <w:r>
              <w:rPr>
                <w:rFonts w:hint="eastAsia" w:ascii="楷体_GB2312" w:hAnsi="楷体_GB2312" w:eastAsia="楷体_GB2312" w:cs="楷体_GB2312"/>
                <w:sz w:val="28"/>
                <w:szCs w:val="28"/>
              </w:rPr>
              <w:t>、</w:t>
            </w:r>
            <w:r>
              <w:rPr>
                <w:rFonts w:ascii="楷体_GB2312" w:hAnsi="楷体_GB2312" w:eastAsia="楷体_GB2312" w:cs="楷体_GB2312"/>
                <w:sz w:val="28"/>
                <w:szCs w:val="28"/>
              </w:rPr>
              <w:t>国安商业综合体</w:t>
            </w:r>
            <w:r>
              <w:rPr>
                <w:rFonts w:hint="eastAsia" w:ascii="楷体_GB2312" w:hAnsi="楷体_GB2312" w:eastAsia="楷体_GB2312" w:cs="楷体_GB2312"/>
                <w:sz w:val="28"/>
                <w:szCs w:val="28"/>
              </w:rPr>
              <w:t>、</w:t>
            </w:r>
            <w:r>
              <w:rPr>
                <w:rFonts w:ascii="楷体_GB2312" w:hAnsi="楷体_GB2312" w:eastAsia="楷体_GB2312" w:cs="楷体_GB2312"/>
                <w:sz w:val="28"/>
                <w:szCs w:val="28"/>
              </w:rPr>
              <w:t>济南汉云谷产业园绿色金融总部建设项目</w:t>
            </w:r>
            <w:r>
              <w:rPr>
                <w:rFonts w:hint="eastAsia" w:ascii="楷体_GB2312" w:hAnsi="楷体_GB2312" w:eastAsia="楷体_GB2312" w:cs="楷体_GB2312"/>
                <w:sz w:val="28"/>
                <w:szCs w:val="28"/>
              </w:rPr>
              <w:t>、</w:t>
            </w:r>
            <w:r>
              <w:rPr>
                <w:rFonts w:ascii="楷体_GB2312" w:hAnsi="楷体_GB2312" w:eastAsia="楷体_GB2312" w:cs="楷体_GB2312"/>
                <w:sz w:val="28"/>
                <w:szCs w:val="28"/>
              </w:rPr>
              <w:t>园博园水之门东南地块建设项目</w:t>
            </w:r>
            <w:r>
              <w:rPr>
                <w:rFonts w:hint="eastAsia" w:ascii="楷体_GB2312" w:hAnsi="楷体_GB2312" w:eastAsia="楷体_GB2312" w:cs="楷体_GB2312"/>
                <w:sz w:val="28"/>
                <w:szCs w:val="28"/>
              </w:rPr>
              <w:t>、</w:t>
            </w:r>
            <w:r>
              <w:rPr>
                <w:rFonts w:ascii="楷体_GB2312" w:hAnsi="楷体_GB2312" w:eastAsia="楷体_GB2312" w:cs="楷体_GB2312"/>
                <w:sz w:val="28"/>
                <w:szCs w:val="28"/>
              </w:rPr>
              <w:t>鼎鑫大厦建设项目</w:t>
            </w:r>
            <w:r>
              <w:rPr>
                <w:rFonts w:hint="eastAsia" w:ascii="楷体_GB2312" w:hAnsi="楷体_GB2312" w:eastAsia="楷体_GB2312" w:cs="楷体_GB2312"/>
                <w:sz w:val="28"/>
                <w:szCs w:val="28"/>
              </w:rPr>
              <w:t>、</w:t>
            </w:r>
            <w:r>
              <w:rPr>
                <w:rFonts w:ascii="楷体_GB2312" w:hAnsi="楷体_GB2312" w:eastAsia="楷体_GB2312" w:cs="楷体_GB2312"/>
                <w:sz w:val="28"/>
                <w:szCs w:val="28"/>
              </w:rPr>
              <w:t>通发智慧物流园项目</w:t>
            </w:r>
            <w:r>
              <w:rPr>
                <w:rFonts w:hint="eastAsia" w:ascii="楷体_GB2312" w:hAnsi="楷体_GB2312" w:eastAsia="楷体_GB2312" w:cs="楷体_GB2312"/>
                <w:sz w:val="28"/>
                <w:szCs w:val="28"/>
              </w:rPr>
              <w:t>、</w:t>
            </w:r>
            <w:r>
              <w:rPr>
                <w:rFonts w:ascii="楷体_GB2312" w:hAnsi="楷体_GB2312" w:eastAsia="楷体_GB2312" w:cs="楷体_GB2312"/>
                <w:sz w:val="28"/>
                <w:szCs w:val="28"/>
              </w:rPr>
              <w:t>东王B1地块商业综合体项目</w:t>
            </w:r>
            <w:r>
              <w:rPr>
                <w:rFonts w:hint="eastAsia" w:ascii="楷体_GB2312" w:hAnsi="楷体_GB2312" w:eastAsia="楷体_GB2312" w:cs="楷体_GB2312"/>
                <w:sz w:val="28"/>
                <w:szCs w:val="28"/>
              </w:rPr>
              <w:t>、中广信（山东）数智中心、双创产业平台基地项目</w:t>
            </w:r>
          </w:p>
        </w:tc>
      </w:tr>
    </w:tbl>
    <w:p w14:paraId="44F43711">
      <w:pPr>
        <w:keepNext w:val="0"/>
        <w:keepLines w:val="0"/>
        <w:pageBreakBefore w:val="0"/>
        <w:wordWrap/>
        <w:topLinePunct w:val="0"/>
        <w:bidi w:val="0"/>
        <w:spacing w:line="560" w:lineRule="exact"/>
        <w:ind w:firstLine="640"/>
      </w:pPr>
      <w:r>
        <w:rPr>
          <w:rFonts w:hint="eastAsia"/>
        </w:rPr>
        <w:br w:type="page"/>
      </w:r>
    </w:p>
    <w:p w14:paraId="75B2CA27">
      <w:pPr>
        <w:pStyle w:val="3"/>
        <w:keepNext w:val="0"/>
        <w:keepLines w:val="0"/>
        <w:pageBreakBefore w:val="0"/>
        <w:wordWrap/>
        <w:topLinePunct w:val="0"/>
        <w:bidi w:val="0"/>
        <w:spacing w:line="560" w:lineRule="exact"/>
      </w:pPr>
      <w:bookmarkStart w:id="55" w:name="_Toc1526116375"/>
      <w:bookmarkStart w:id="56" w:name="_Toc261242743"/>
      <w:bookmarkStart w:id="57" w:name="_Toc889757783"/>
      <w:bookmarkStart w:id="58" w:name="_Toc233272365"/>
      <w:r>
        <w:rPr>
          <w:rFonts w:hint="eastAsia"/>
        </w:rPr>
        <w:t xml:space="preserve">第三章  </w:t>
      </w:r>
      <w:r>
        <w:rPr>
          <w:rFonts w:hint="eastAsia"/>
          <w:szCs w:val="32"/>
        </w:rPr>
        <w:t>优化创新创业生态，打造产学研融合发展基地</w:t>
      </w:r>
      <w:bookmarkEnd w:id="55"/>
      <w:bookmarkEnd w:id="56"/>
      <w:bookmarkEnd w:id="57"/>
      <w:bookmarkEnd w:id="58"/>
    </w:p>
    <w:p w14:paraId="30FD8B00">
      <w:pPr>
        <w:pStyle w:val="22"/>
        <w:keepNext w:val="0"/>
        <w:keepLines w:val="0"/>
        <w:pageBreakBefore w:val="0"/>
        <w:wordWrap/>
        <w:topLinePunct w:val="0"/>
        <w:bidi w:val="0"/>
        <w:spacing w:line="560" w:lineRule="exact"/>
        <w:ind w:firstLine="640"/>
        <w:rPr>
          <w:rFonts w:ascii="仿宋_GB2312" w:hAnsi="仿宋_GB2312" w:eastAsia="仿宋_GB2312" w:cs="仿宋_GB2312"/>
        </w:rPr>
      </w:pPr>
    </w:p>
    <w:p w14:paraId="3D4C6C84">
      <w:pPr>
        <w:keepNext w:val="0"/>
        <w:keepLines w:val="0"/>
        <w:pageBreakBefore w:val="0"/>
        <w:wordWrap/>
        <w:topLinePunct w:val="0"/>
        <w:bidi w:val="0"/>
        <w:spacing w:line="560" w:lineRule="exact"/>
        <w:ind w:firstLine="640"/>
      </w:pPr>
      <w:r>
        <w:rPr>
          <w:rFonts w:hint="eastAsia"/>
        </w:rPr>
        <w:t>充分发挥高校科创资源优势，深入实施创新驱动发展战略，强化共享载体平台建设，推动校产城紧密融合，优化创新创业生态，提升科技成果转化效能，构建环高校创新创业生态圈，聚力打造产学研融合发展基地。</w:t>
      </w:r>
    </w:p>
    <w:p w14:paraId="39C4744E">
      <w:pPr>
        <w:pStyle w:val="4"/>
        <w:keepNext w:val="0"/>
        <w:keepLines w:val="0"/>
        <w:pageBreakBefore w:val="0"/>
        <w:wordWrap/>
        <w:topLinePunct w:val="0"/>
        <w:bidi w:val="0"/>
        <w:spacing w:line="560" w:lineRule="exact"/>
      </w:pPr>
      <w:bookmarkStart w:id="59" w:name="_Toc233272366"/>
      <w:bookmarkStart w:id="60" w:name="_Toc565944639"/>
      <w:bookmarkStart w:id="61" w:name="_Toc452721254"/>
      <w:r>
        <w:rPr>
          <w:rFonts w:hint="eastAsia"/>
        </w:rPr>
        <w:t>第一节  加强载体平台建设</w:t>
      </w:r>
      <w:bookmarkEnd w:id="59"/>
      <w:bookmarkEnd w:id="60"/>
      <w:bookmarkEnd w:id="61"/>
    </w:p>
    <w:p w14:paraId="56FB058F">
      <w:pPr>
        <w:keepNext w:val="0"/>
        <w:keepLines w:val="0"/>
        <w:pageBreakBefore w:val="0"/>
        <w:wordWrap/>
        <w:topLinePunct w:val="0"/>
        <w:bidi w:val="0"/>
        <w:spacing w:line="560" w:lineRule="exact"/>
        <w:ind w:firstLine="640"/>
        <w:rPr>
          <w:rFonts w:ascii="楷体_GB2312" w:hAnsi="楷体_GB2312" w:eastAsia="楷体_GB2312" w:cs="楷体_GB2312"/>
        </w:rPr>
      </w:pPr>
      <w:r>
        <w:rPr>
          <w:rFonts w:hint="eastAsia" w:ascii="楷体_GB2312" w:hAnsi="楷体_GB2312" w:eastAsia="楷体_GB2312" w:cs="楷体_GB2312"/>
        </w:rPr>
        <w:t xml:space="preserve"> </w:t>
      </w:r>
      <w:r>
        <w:rPr>
          <w:rFonts w:hint="eastAsia"/>
        </w:rPr>
        <w:t>高水平、高标准建设科创平台载体，推动实验室、科创载体校企共建共享。</w:t>
      </w:r>
    </w:p>
    <w:p w14:paraId="26AB6513">
      <w:pPr>
        <w:keepNext w:val="0"/>
        <w:keepLines w:val="0"/>
        <w:pageBreakBefore w:val="0"/>
        <w:wordWrap/>
        <w:topLinePunct w:val="0"/>
        <w:bidi w:val="0"/>
        <w:spacing w:line="560" w:lineRule="exact"/>
        <w:ind w:firstLine="643"/>
      </w:pPr>
      <w:r>
        <w:rPr>
          <w:rFonts w:hint="eastAsia"/>
          <w:b/>
          <w:bCs/>
        </w:rPr>
        <w:t>加大创新创业载体布局建设</w:t>
      </w:r>
      <w:r>
        <w:rPr>
          <w:rFonts w:hint="eastAsia"/>
        </w:rPr>
        <w:t>。加快“孵化、小试、中试、转化”创新创业载体全链式发展，打造科创成果全周期服务支持体系；依托大学城高校资源，提升创新创业产业基地核心孵化能力；完善晶格广场、三庆青年城等综合性载体服务功能；谋划建设“服务全省、链接全国”的山东省生物制造产业研发中心，积极推进中医药院内制剂中试基地及制剂中心、大学城科创中心、山东女子学院健康养老学院等特色创新创业基地建设；加快生物医药、新能源汽车、网络视听、低空经济、智能制造、中医药等产业转化基地的建设与提升，支持推进“环渤海中医药概念验证与成果转化中心”建设，高标准建设OPC数智生态社区，着力谋划建成一批创新资源集聚、功能互补的创新创业载体平台，构建“1+2+4+N”创新创业孵化载体体系。</w:t>
      </w:r>
    </w:p>
    <w:p w14:paraId="0C9EFE67">
      <w:pPr>
        <w:keepNext w:val="0"/>
        <w:keepLines w:val="0"/>
        <w:pageBreakBefore w:val="0"/>
        <w:wordWrap/>
        <w:topLinePunct w:val="0"/>
        <w:bidi w:val="0"/>
        <w:spacing w:line="560" w:lineRule="exact"/>
        <w:ind w:firstLine="643"/>
        <w:rPr>
          <w:rFonts w:ascii="黑体" w:hAnsi="黑体" w:eastAsia="黑体" w:cs="黑体"/>
          <w:sz w:val="28"/>
          <w:szCs w:val="28"/>
        </w:rPr>
      </w:pPr>
      <w:r>
        <w:rPr>
          <w:rFonts w:hint="eastAsia"/>
          <w:b/>
          <w:bCs/>
        </w:rPr>
        <w:t>推动载体平台联合共建共享</w:t>
      </w:r>
      <w:r>
        <w:rPr>
          <w:rFonts w:hint="eastAsia"/>
        </w:rPr>
        <w:t>。整合企业与高校研发资源，鼓励辖区内高校、科研院所、企业合作建设科研创新平台，支持申建国家、省重点实验室，加快构建凸显长清特色优势的多层次联合共建实验室体系。鼓励高校大型仪器设备、实验室对外开放，聚焦产业发展需求，校企联合开展关键技术研发，解决制约产业发展的重大技术难题。支持企业之间、校企之间联合组建创新联合体，积极共建技术中心、工业设计中心和重点实验室开展技术攻关，鼓励骨干企业科技设施、科研数据、中试平台共享共用。</w:t>
      </w:r>
    </w:p>
    <w:tbl>
      <w:tblPr>
        <w:tblStyle w:val="17"/>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9288"/>
      </w:tblGrid>
      <w:tr w14:paraId="740B32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288" w:type="dxa"/>
          </w:tcPr>
          <w:p w14:paraId="13C3F83D">
            <w:pPr>
              <w:pStyle w:val="5"/>
              <w:keepNext w:val="0"/>
              <w:keepLines w:val="0"/>
              <w:pageBreakBefore w:val="0"/>
              <w:wordWrap/>
              <w:topLinePunct w:val="0"/>
              <w:bidi w:val="0"/>
              <w:spacing w:after="0" w:line="560" w:lineRule="exact"/>
              <w:ind w:firstLine="0" w:firstLineChars="0"/>
              <w:jc w:val="center"/>
              <w:textAlignment w:val="baseline"/>
              <w:rPr>
                <w:rFonts w:ascii="黑体" w:hAnsi="黑体" w:eastAsia="黑体" w:cs="黑体"/>
                <w:sz w:val="28"/>
                <w:szCs w:val="28"/>
              </w:rPr>
            </w:pPr>
            <w:r>
              <w:rPr>
                <w:rFonts w:hint="eastAsia" w:ascii="黑体" w:hAnsi="黑体" w:eastAsia="黑体" w:cs="黑体"/>
                <w:sz w:val="28"/>
                <w:szCs w:val="28"/>
              </w:rPr>
              <w:t>专栏5  “1+2+4+N”创新创业孵化载体体系</w:t>
            </w:r>
          </w:p>
          <w:p w14:paraId="3B256643">
            <w:pPr>
              <w:pStyle w:val="5"/>
              <w:keepNext w:val="0"/>
              <w:keepLines w:val="0"/>
              <w:pageBreakBefore w:val="0"/>
              <w:wordWrap/>
              <w:topLinePunct w:val="0"/>
              <w:bidi w:val="0"/>
              <w:spacing w:after="0" w:line="560" w:lineRule="exact"/>
              <w:ind w:firstLine="560"/>
              <w:textAlignment w:val="baseline"/>
              <w:rPr>
                <w:rFonts w:ascii="楷体_GB2312" w:hAnsi="楷体_GB2312" w:eastAsia="楷体_GB2312" w:cs="楷体_GB2312"/>
                <w:sz w:val="28"/>
                <w:szCs w:val="28"/>
              </w:rPr>
            </w:pPr>
            <w:r>
              <w:rPr>
                <w:rFonts w:hint="eastAsia" w:ascii="楷体_GB2312" w:hAnsi="楷体_GB2312" w:eastAsia="楷体_GB2312" w:cs="楷体_GB2312"/>
                <w:sz w:val="28"/>
                <w:szCs w:val="28"/>
              </w:rPr>
              <w:t>1：打造以创新创业产业基地为载体的创新创业核心孵化区。</w:t>
            </w:r>
          </w:p>
          <w:p w14:paraId="09BA5FCC">
            <w:pPr>
              <w:pStyle w:val="5"/>
              <w:keepNext w:val="0"/>
              <w:keepLines w:val="0"/>
              <w:pageBreakBefore w:val="0"/>
              <w:wordWrap/>
              <w:topLinePunct w:val="0"/>
              <w:bidi w:val="0"/>
              <w:spacing w:after="0" w:line="560" w:lineRule="exact"/>
              <w:ind w:firstLine="560"/>
              <w:textAlignment w:val="baseline"/>
              <w:rPr>
                <w:rFonts w:ascii="楷体_GB2312" w:hAnsi="楷体_GB2312" w:eastAsia="楷体_GB2312" w:cs="楷体_GB2312"/>
                <w:sz w:val="28"/>
                <w:szCs w:val="28"/>
              </w:rPr>
            </w:pPr>
            <w:r>
              <w:rPr>
                <w:rFonts w:hint="eastAsia" w:ascii="楷体_GB2312" w:hAnsi="楷体_GB2312" w:eastAsia="楷体_GB2312" w:cs="楷体_GB2312"/>
                <w:sz w:val="28"/>
                <w:szCs w:val="28"/>
              </w:rPr>
              <w:t>2：建设以晶格广场、三庆青年城为载体的2个综合性创新创业孵化基地。</w:t>
            </w:r>
          </w:p>
          <w:p w14:paraId="78B40A75">
            <w:pPr>
              <w:pStyle w:val="5"/>
              <w:keepNext w:val="0"/>
              <w:keepLines w:val="0"/>
              <w:pageBreakBefore w:val="0"/>
              <w:wordWrap/>
              <w:topLinePunct w:val="0"/>
              <w:bidi w:val="0"/>
              <w:spacing w:after="0" w:line="560" w:lineRule="exact"/>
              <w:ind w:firstLine="560"/>
              <w:textAlignment w:val="baseline"/>
              <w:rPr>
                <w:rFonts w:ascii="楷体_GB2312" w:hAnsi="楷体_GB2312" w:eastAsia="楷体_GB2312" w:cs="楷体_GB2312"/>
                <w:sz w:val="28"/>
                <w:szCs w:val="28"/>
              </w:rPr>
            </w:pPr>
            <w:r>
              <w:rPr>
                <w:rFonts w:hint="eastAsia" w:ascii="楷体_GB2312" w:hAnsi="楷体_GB2312" w:eastAsia="楷体_GB2312" w:cs="楷体_GB2312"/>
                <w:sz w:val="28"/>
                <w:szCs w:val="28"/>
              </w:rPr>
              <w:t>4：布局4个特色创新创业基地，即山东生物制造产业研发中心、中医药院内制剂中试基地及制剂中心、大学城科创中心和健康养老学院研发实训基地。</w:t>
            </w:r>
          </w:p>
          <w:p w14:paraId="31D80EF3">
            <w:pPr>
              <w:pStyle w:val="5"/>
              <w:keepNext w:val="0"/>
              <w:keepLines w:val="0"/>
              <w:pageBreakBefore w:val="0"/>
              <w:wordWrap/>
              <w:topLinePunct w:val="0"/>
              <w:bidi w:val="0"/>
              <w:spacing w:after="0" w:line="560" w:lineRule="exact"/>
              <w:ind w:firstLine="560"/>
              <w:textAlignment w:val="baseline"/>
            </w:pPr>
            <w:r>
              <w:rPr>
                <w:rFonts w:hint="eastAsia" w:ascii="楷体_GB2312" w:hAnsi="楷体_GB2312" w:eastAsia="楷体_GB2312" w:cs="楷体_GB2312"/>
                <w:sz w:val="28"/>
                <w:szCs w:val="28"/>
              </w:rPr>
              <w:t>N：生物医药、新能源汽车、网络视听、低空经济、中医药等多个创业孵化和产业转化基地。</w:t>
            </w:r>
          </w:p>
        </w:tc>
      </w:tr>
    </w:tbl>
    <w:p w14:paraId="7EBA9EB5">
      <w:pPr>
        <w:pStyle w:val="4"/>
        <w:keepNext w:val="0"/>
        <w:keepLines w:val="0"/>
        <w:pageBreakBefore w:val="0"/>
        <w:wordWrap/>
        <w:topLinePunct w:val="0"/>
        <w:bidi w:val="0"/>
        <w:spacing w:line="560" w:lineRule="exact"/>
      </w:pPr>
      <w:bookmarkStart w:id="62" w:name="_Toc944253291"/>
      <w:bookmarkStart w:id="63" w:name="_Toc1128712267"/>
      <w:bookmarkStart w:id="64" w:name="_Toc233272367"/>
      <w:r>
        <w:rPr>
          <w:rFonts w:hint="eastAsia"/>
        </w:rPr>
        <w:t>第二节  加速科技成果转化应用</w:t>
      </w:r>
      <w:bookmarkEnd w:id="62"/>
      <w:bookmarkEnd w:id="63"/>
      <w:bookmarkEnd w:id="64"/>
    </w:p>
    <w:p w14:paraId="1967303D">
      <w:pPr>
        <w:keepNext w:val="0"/>
        <w:keepLines w:val="0"/>
        <w:pageBreakBefore w:val="0"/>
        <w:wordWrap/>
        <w:topLinePunct w:val="0"/>
        <w:bidi w:val="0"/>
        <w:spacing w:line="560" w:lineRule="exact"/>
        <w:ind w:firstLine="640"/>
      </w:pPr>
      <w:r>
        <w:rPr>
          <w:rFonts w:hint="eastAsia"/>
        </w:rPr>
        <w:t>着力深化校地校企融合，完善服务机制，畅通转化渠道，提升落地效能，推动科教资源高效转化为现实生产力。</w:t>
      </w:r>
    </w:p>
    <w:p w14:paraId="6FA24808">
      <w:pPr>
        <w:keepNext w:val="0"/>
        <w:keepLines w:val="0"/>
        <w:pageBreakBefore w:val="0"/>
        <w:wordWrap/>
        <w:topLinePunct w:val="0"/>
        <w:bidi w:val="0"/>
        <w:spacing w:line="560" w:lineRule="exact"/>
        <w:ind w:firstLine="643"/>
      </w:pPr>
      <w:r>
        <w:rPr>
          <w:rFonts w:hint="eastAsia"/>
          <w:b/>
          <w:bCs/>
        </w:rPr>
        <w:t>深化校地校企融合</w:t>
      </w:r>
      <w:r>
        <w:rPr>
          <w:rFonts w:hint="eastAsia"/>
        </w:rPr>
        <w:t>。完善“校企共生”合作体系，支持高校与企业联合共建研发中心，推动高校实验室与企业开展关键核心技术攻关。深化“企业出题、院所解题、政府助题”的产学研协同创新机制，定期举办高校科研成果和企业技术需求双向发布活动，打通信息壁垒。推动科技成果转化，对高校与本地企业合作的项目给予政策支持，鼓励高校以技术入股、专利授权等方式参与项目运营，加速科研成果向现实生产力转化。</w:t>
      </w:r>
    </w:p>
    <w:p w14:paraId="6AE2E30E">
      <w:pPr>
        <w:keepNext w:val="0"/>
        <w:keepLines w:val="0"/>
        <w:pageBreakBefore w:val="0"/>
        <w:wordWrap/>
        <w:topLinePunct w:val="0"/>
        <w:bidi w:val="0"/>
        <w:spacing w:line="560" w:lineRule="exact"/>
        <w:ind w:firstLine="643"/>
      </w:pPr>
      <w:r>
        <w:rPr>
          <w:rFonts w:hint="eastAsia"/>
          <w:b/>
          <w:bCs/>
        </w:rPr>
        <w:t>实施大学城技术经理人队伍培育建设</w:t>
      </w:r>
      <w:r>
        <w:rPr>
          <w:rFonts w:hint="eastAsia"/>
        </w:rPr>
        <w:t>。推动驻区高校建立技术经理人学院，联合省市科技部门、山东科技大市场等专业机构单位，定期举办专业培训，储备打造一批业务精湛的技术经理人队伍，助推技术供需对接与成果转化落地。</w:t>
      </w:r>
    </w:p>
    <w:p w14:paraId="1D65159D">
      <w:pPr>
        <w:pStyle w:val="4"/>
        <w:keepNext w:val="0"/>
        <w:keepLines w:val="0"/>
        <w:pageBreakBefore w:val="0"/>
        <w:wordWrap/>
        <w:topLinePunct w:val="0"/>
        <w:bidi w:val="0"/>
        <w:spacing w:line="560" w:lineRule="exact"/>
      </w:pPr>
      <w:bookmarkStart w:id="65" w:name="_Toc746940294"/>
      <w:bookmarkStart w:id="66" w:name="_Toc233272368"/>
      <w:bookmarkStart w:id="67" w:name="_Toc605927725"/>
      <w:r>
        <w:rPr>
          <w:rFonts w:hint="eastAsia"/>
        </w:rPr>
        <w:t>第三节  营造一流创新发展生态</w:t>
      </w:r>
      <w:bookmarkEnd w:id="65"/>
      <w:bookmarkEnd w:id="66"/>
      <w:bookmarkEnd w:id="67"/>
    </w:p>
    <w:p w14:paraId="07DCA958">
      <w:pPr>
        <w:keepNext w:val="0"/>
        <w:keepLines w:val="0"/>
        <w:pageBreakBefore w:val="0"/>
        <w:wordWrap/>
        <w:topLinePunct w:val="0"/>
        <w:bidi w:val="0"/>
        <w:spacing w:line="560" w:lineRule="exact"/>
        <w:ind w:firstLine="640"/>
      </w:pPr>
      <w:r>
        <w:rPr>
          <w:rFonts w:hint="eastAsia"/>
        </w:rPr>
        <w:t>以激发创新主体活力、完善人才引育支撑、强化政策机制保障为重点，营造科技创新优良环境。</w:t>
      </w:r>
    </w:p>
    <w:p w14:paraId="6436E302">
      <w:pPr>
        <w:keepNext w:val="0"/>
        <w:keepLines w:val="0"/>
        <w:pageBreakBefore w:val="0"/>
        <w:wordWrap/>
        <w:topLinePunct w:val="0"/>
        <w:bidi w:val="0"/>
        <w:spacing w:line="560" w:lineRule="exact"/>
        <w:ind w:firstLine="643"/>
      </w:pPr>
      <w:r>
        <w:rPr>
          <w:rFonts w:hint="eastAsia"/>
          <w:b/>
          <w:bCs/>
        </w:rPr>
        <w:t>实施科技创新能力提升工程</w:t>
      </w:r>
      <w:r>
        <w:rPr>
          <w:rFonts w:hint="eastAsia"/>
        </w:rPr>
        <w:t>。大力培育创新型企业，健全完善科技型中小企业-高新技术企业-科技领军企业的梯次培育体系；引导企业增加研发投入，支持企业承接国家、省、市重点研发计划项目；落实好企业研发费用普惠性政策，降低企业研发成本，提高企业科技创新积极性，加快培育一批创新型领军企业群。支持大学高水平建设，深化校企战略合作，支持山东师范大学、齐鲁工业大学争创国家“双一流”高校，推动有条件的高校建设高水平科研型大学；支持高校、科研院所开展关键核心技术攻关，积极参与国家2030、2035重大科技项目和省重大科技专项。</w:t>
      </w:r>
    </w:p>
    <w:p w14:paraId="1B122C4B">
      <w:pPr>
        <w:keepNext w:val="0"/>
        <w:keepLines w:val="0"/>
        <w:pageBreakBefore w:val="0"/>
        <w:wordWrap/>
        <w:topLinePunct w:val="0"/>
        <w:bidi w:val="0"/>
        <w:spacing w:line="560" w:lineRule="exact"/>
        <w:ind w:firstLine="643"/>
      </w:pPr>
      <w:r>
        <w:rPr>
          <w:rFonts w:hint="eastAsia"/>
          <w:b/>
          <w:bCs/>
        </w:rPr>
        <w:t>加大人才培育引进</w:t>
      </w:r>
      <w:r>
        <w:rPr>
          <w:rFonts w:hint="eastAsia"/>
        </w:rPr>
        <w:t>。靶向集聚高层次人才，聚焦“3+2”产业体系核心需求，建立“高精尖缺”人才目录，靶向引进科技领军人才、高水平创新团队及产业关键技术人才，形成与区域产业发展高度匹配的人才梯队；以山东交通学院、齐鲁工业大学、山东中医药大学等高校科研平台为依托，通过“高校科研成果+企业产业化项目”联动模式，吸引高端人才带技术落地，同步培养储备青年科技后备力量。产教融合培育实用人才，发挥大学城高校人才集聚优势，牵头建立政府、高校、企业三方协同育人机制，持续推动扩大高等院校、职业院校与区内重点企业共建实训基地、产业学院，推广订单式培养与新型学徒制，定向培育产业急需的技能型、复合型人才。畅通校地人才双向流动，推行“高校人才驿站”制度，鼓励高校科研人员带项目入驻长清科创平台载体，支持企业技术骨干参与高校教学实践，实现知识溢出与产业双向赋能。认真落实好人才政策，细化实施“人才安居工程”，在大学城周边谋划配套建设人才公寓，提供教育、医疗等组合式保障，推行“一对一”人才服务专员制度；聚焦青年人才集聚需求，以大学城为核心推进青年发展型城区建设，落实好针对青年人才的普惠性政策，打造“近校安居、就近就业”的青年人才发展环境。</w:t>
      </w:r>
    </w:p>
    <w:p w14:paraId="4E14B2B5">
      <w:pPr>
        <w:keepNext w:val="0"/>
        <w:keepLines w:val="0"/>
        <w:pageBreakBefore w:val="0"/>
        <w:wordWrap/>
        <w:topLinePunct w:val="0"/>
        <w:bidi w:val="0"/>
        <w:spacing w:line="560" w:lineRule="exact"/>
        <w:ind w:firstLine="643"/>
      </w:pPr>
      <w:r>
        <w:rPr>
          <w:rFonts w:hint="eastAsia"/>
          <w:b/>
          <w:bCs/>
        </w:rPr>
        <w:t>强化政策服务</w:t>
      </w:r>
      <w:r>
        <w:rPr>
          <w:rFonts w:hint="eastAsia"/>
        </w:rPr>
        <w:t>。完善科创政策导入机制，聚焦高校、科技型企业等核心创新主体，梳理筛选国家省市创新创业适配性政策，实现“政策找企、精准推送”；依托“泉惠企”平台，完善企业信息库、惠企政策库，通过对企业进行“精准画像”，推动政策匹配、申报、兑现全流程高效服务。健全金融服务体系，强化基金赋能，通过联合省市属国有企业成立产业发展基金和区属产业引导基金，支持赋能高校科研转化、重点产业科创项目研发孵化；深化“济担-科创贷”“鲁科贷”“鲁科担”等政策性金融产品的长清场景应用推广，提升“泉融通”平台金融服务质效，重点加大对科技成果孵化、产业化等关键环节的信贷支持；健全完善“政银企”常态化对接机制，定期梳理推送科创融资需求清单，引导银行及投资机构针对长清产业特色开展定制化金融服务，实现金融“精准滴灌”。</w:t>
      </w:r>
    </w:p>
    <w:p w14:paraId="5E918A8C">
      <w:pPr>
        <w:pStyle w:val="22"/>
        <w:keepNext w:val="0"/>
        <w:keepLines w:val="0"/>
        <w:pageBreakBefore w:val="0"/>
        <w:wordWrap/>
        <w:topLinePunct w:val="0"/>
        <w:bidi w:val="0"/>
        <w:spacing w:line="560" w:lineRule="exact"/>
        <w:ind w:firstLine="643"/>
        <w:rPr>
          <w:rFonts w:ascii="仿宋_GB2312" w:hAnsi="仿宋_GB2312" w:eastAsia="仿宋_GB2312" w:cs="仿宋_GB2312"/>
        </w:rPr>
      </w:pPr>
      <w:r>
        <w:rPr>
          <w:rFonts w:hint="eastAsia" w:ascii="仿宋_GB2312" w:hAnsi="仿宋_GB2312" w:eastAsia="仿宋_GB2312" w:cs="仿宋_GB2312"/>
          <w:b/>
          <w:bCs/>
        </w:rPr>
        <w:t>强化区域协同和跨界融合</w:t>
      </w:r>
      <w:r>
        <w:rPr>
          <w:rFonts w:hint="eastAsia" w:ascii="仿宋_GB2312" w:hAnsi="仿宋_GB2312" w:eastAsia="仿宋_GB2312" w:cs="仿宋_GB2312"/>
        </w:rPr>
        <w:t>。依托大学城科创资源优势，积极承办创新赛事、学术论坛等活动，扩大对内对外合作交流，拓展科创中心辐射范围。对内协同联动，建立“信息互通、资源共享”的协同体系，搭建区域性供应链数字化平台，实现供需实时对接，畅通创新链与产业链的协同发展。对外跨界融合，积极对接齐鲁科创大走廊，加强创新载体平台培育集聚，打造济南西部科教产融合创新高地；探索推进与泰安、聊城等周边区县建设“科创飞地”“产业飞地”，共享科创资源，共建科创平台载体，协同提升科创水平</w:t>
      </w:r>
      <w:r>
        <w:rPr>
          <w:rFonts w:ascii="仿宋_GB2312" w:hAnsi="仿宋_GB2312" w:eastAsia="仿宋_GB2312" w:cs="仿宋_GB2312"/>
        </w:rPr>
        <w:t>。</w:t>
      </w:r>
    </w:p>
    <w:p w14:paraId="37B87258">
      <w:pPr>
        <w:keepNext w:val="0"/>
        <w:keepLines w:val="0"/>
        <w:pageBreakBefore w:val="0"/>
        <w:wordWrap/>
        <w:topLinePunct w:val="0"/>
        <w:bidi w:val="0"/>
        <w:spacing w:line="560" w:lineRule="exact"/>
        <w:ind w:firstLine="640"/>
        <w:rPr>
          <w:rFonts w:ascii="国标黑体" w:hAnsi="国标黑体" w:eastAsia="国标黑体" w:cs="国标黑体"/>
        </w:rPr>
      </w:pPr>
      <w:r>
        <w:rPr>
          <w:rFonts w:hint="eastAsia" w:ascii="国标黑体" w:hAnsi="国标黑体" w:eastAsia="国标黑体" w:cs="国标黑体"/>
        </w:rPr>
        <w:br w:type="page"/>
      </w:r>
    </w:p>
    <w:p w14:paraId="3DEC0464">
      <w:pPr>
        <w:pStyle w:val="3"/>
        <w:keepNext w:val="0"/>
        <w:keepLines w:val="0"/>
        <w:pageBreakBefore w:val="0"/>
        <w:wordWrap/>
        <w:topLinePunct w:val="0"/>
        <w:bidi w:val="0"/>
        <w:spacing w:line="560" w:lineRule="exact"/>
      </w:pPr>
      <w:bookmarkStart w:id="68" w:name="_Toc1699449565"/>
      <w:bookmarkStart w:id="69" w:name="_Toc1892140897"/>
      <w:bookmarkStart w:id="70" w:name="_Toc473987932"/>
    </w:p>
    <w:p w14:paraId="0A0EF4D8">
      <w:pPr>
        <w:pStyle w:val="3"/>
        <w:keepNext w:val="0"/>
        <w:keepLines w:val="0"/>
        <w:pageBreakBefore w:val="0"/>
        <w:wordWrap/>
        <w:topLinePunct w:val="0"/>
        <w:bidi w:val="0"/>
        <w:spacing w:line="560" w:lineRule="exact"/>
      </w:pPr>
      <w:bookmarkStart w:id="71" w:name="_Toc233272369"/>
      <w:r>
        <w:rPr>
          <w:rFonts w:hint="eastAsia"/>
        </w:rPr>
        <w:t>第四章  加快推进数智长清建设，构筑区域发展新优势</w:t>
      </w:r>
      <w:bookmarkEnd w:id="68"/>
      <w:bookmarkEnd w:id="69"/>
      <w:bookmarkEnd w:id="70"/>
      <w:bookmarkEnd w:id="71"/>
    </w:p>
    <w:p w14:paraId="381679C8">
      <w:pPr>
        <w:keepNext w:val="0"/>
        <w:keepLines w:val="0"/>
        <w:pageBreakBefore w:val="0"/>
        <w:wordWrap/>
        <w:topLinePunct w:val="0"/>
        <w:bidi w:val="0"/>
        <w:spacing w:line="560" w:lineRule="exact"/>
        <w:ind w:firstLine="0" w:firstLineChars="0"/>
        <w:rPr>
          <w:rFonts w:ascii="国标黑体" w:hAnsi="国标黑体" w:eastAsia="国标黑体" w:cs="国标黑体"/>
          <w:kern w:val="0"/>
          <w:sz w:val="24"/>
          <w:szCs w:val="24"/>
          <w:shd w:val="clear" w:color="auto" w:fill="FFFFFF"/>
        </w:rPr>
      </w:pPr>
    </w:p>
    <w:p w14:paraId="1EAB3E15">
      <w:pPr>
        <w:keepNext w:val="0"/>
        <w:keepLines w:val="0"/>
        <w:pageBreakBefore w:val="0"/>
        <w:wordWrap/>
        <w:topLinePunct w:val="0"/>
        <w:bidi w:val="0"/>
        <w:spacing w:line="560" w:lineRule="exact"/>
        <w:ind w:firstLine="640"/>
        <w:rPr>
          <w:shd w:val="clear" w:color="auto" w:fill="FFFFFF"/>
        </w:rPr>
      </w:pPr>
      <w:r>
        <w:rPr>
          <w:rFonts w:hint="eastAsia"/>
        </w:rPr>
        <w:t>发展数智经济，是推动区域经济结构优化升级、构建现代化经济体系的核心动力。“</w:t>
      </w:r>
      <w:r>
        <w:rPr>
          <w:rFonts w:hint="eastAsia"/>
          <w:shd w:val="clear" w:color="auto" w:fill="FFFFFF"/>
        </w:rPr>
        <w:t>十五五”时期，是长清区抢抓</w:t>
      </w:r>
      <w:r>
        <w:rPr>
          <w:rFonts w:hint="eastAsia"/>
        </w:rPr>
        <w:t>数智</w:t>
      </w:r>
      <w:r>
        <w:rPr>
          <w:rFonts w:hint="eastAsia"/>
          <w:shd w:val="clear" w:color="auto" w:fill="FFFFFF"/>
        </w:rPr>
        <w:t>时代机遇、实现新旧动能转换的关键五年。长清区将坚持以创新驱动为核心，加快数字技术与经济社会各领域融合应用，稳步推进智能化应用，遵循“高点定位、特色发展、融合赋能、开放协同”的原则，</w:t>
      </w:r>
      <w:r>
        <w:rPr>
          <w:rFonts w:hint="eastAsia"/>
        </w:rPr>
        <w:t>逐步</w:t>
      </w:r>
      <w:r>
        <w:rPr>
          <w:rFonts w:hint="eastAsia"/>
          <w:shd w:val="clear" w:color="auto" w:fill="FFFFFF"/>
        </w:rPr>
        <w:t>构建起特色鲜明、优势突出、动能强劲的</w:t>
      </w:r>
      <w:r>
        <w:rPr>
          <w:rFonts w:hint="eastAsia"/>
        </w:rPr>
        <w:t>数智</w:t>
      </w:r>
      <w:r>
        <w:rPr>
          <w:rFonts w:hint="eastAsia"/>
          <w:shd w:val="clear" w:color="auto" w:fill="FFFFFF"/>
        </w:rPr>
        <w:t>经济体系。</w:t>
      </w:r>
    </w:p>
    <w:p w14:paraId="6DFCFD89">
      <w:pPr>
        <w:pStyle w:val="4"/>
        <w:keepNext w:val="0"/>
        <w:keepLines w:val="0"/>
        <w:pageBreakBefore w:val="0"/>
        <w:wordWrap/>
        <w:topLinePunct w:val="0"/>
        <w:bidi w:val="0"/>
        <w:spacing w:line="560" w:lineRule="exact"/>
        <w:rPr>
          <w:rFonts w:ascii="黑体" w:hAnsi="黑体" w:cs="黑体"/>
          <w:szCs w:val="32"/>
          <w:shd w:val="clear" w:color="auto" w:fill="FFFFFF"/>
        </w:rPr>
      </w:pPr>
      <w:bookmarkStart w:id="72" w:name="_Toc2002126405"/>
      <w:bookmarkStart w:id="73" w:name="_Toc258140074"/>
      <w:bookmarkStart w:id="74" w:name="_Toc233272370"/>
      <w:r>
        <w:rPr>
          <w:rFonts w:hint="eastAsia" w:ascii="黑体" w:hAnsi="黑体" w:cs="黑体"/>
          <w:szCs w:val="32"/>
        </w:rPr>
        <w:t>第一节 锚定一个总目标，</w:t>
      </w:r>
      <w:r>
        <w:rPr>
          <w:rFonts w:hint="eastAsia" w:ascii="黑体" w:hAnsi="黑体" w:cs="黑体"/>
          <w:szCs w:val="32"/>
          <w:shd w:val="clear" w:color="auto" w:fill="FFFFFF"/>
        </w:rPr>
        <w:t>建设区域</w:t>
      </w:r>
      <w:r>
        <w:rPr>
          <w:rFonts w:hint="eastAsia" w:cs="仿宋_GB2312"/>
          <w:szCs w:val="32"/>
        </w:rPr>
        <w:t>数智</w:t>
      </w:r>
      <w:r>
        <w:rPr>
          <w:rFonts w:hint="eastAsia" w:ascii="黑体" w:hAnsi="黑体" w:cs="黑体"/>
          <w:szCs w:val="32"/>
          <w:shd w:val="clear" w:color="auto" w:fill="FFFFFF"/>
        </w:rPr>
        <w:t>经济发展特色区</w:t>
      </w:r>
      <w:bookmarkEnd w:id="72"/>
      <w:bookmarkEnd w:id="73"/>
      <w:bookmarkEnd w:id="74"/>
    </w:p>
    <w:p w14:paraId="55F13BF8">
      <w:pPr>
        <w:keepNext w:val="0"/>
        <w:keepLines w:val="0"/>
        <w:pageBreakBefore w:val="0"/>
        <w:wordWrap/>
        <w:topLinePunct w:val="0"/>
        <w:bidi w:val="0"/>
        <w:spacing w:line="560" w:lineRule="exact"/>
        <w:ind w:firstLine="640"/>
        <w:rPr>
          <w:shd w:val="clear" w:color="auto" w:fill="FFFFFF"/>
        </w:rPr>
      </w:pPr>
      <w:r>
        <w:rPr>
          <w:rFonts w:hint="eastAsia"/>
          <w:shd w:val="clear" w:color="auto" w:fill="FFFFFF"/>
        </w:rPr>
        <w:t>到</w:t>
      </w:r>
      <w:r>
        <w:rPr>
          <w:rStyle w:val="19"/>
          <w:rFonts w:hint="eastAsia"/>
          <w:b w:val="0"/>
          <w:shd w:val="clear" w:color="auto" w:fill="FFFFFF"/>
        </w:rPr>
        <w:t>2030</w:t>
      </w:r>
      <w:r>
        <w:rPr>
          <w:rFonts w:hint="eastAsia"/>
          <w:shd w:val="clear" w:color="auto" w:fill="FFFFFF"/>
        </w:rPr>
        <w:t>年，</w:t>
      </w:r>
      <w:r>
        <w:rPr>
          <w:rFonts w:hint="eastAsia"/>
        </w:rPr>
        <w:t>数字</w:t>
      </w:r>
      <w:r>
        <w:rPr>
          <w:rFonts w:hint="eastAsia"/>
          <w:shd w:val="clear" w:color="auto" w:fill="FFFFFF"/>
        </w:rPr>
        <w:t>产业影响力扩大，</w:t>
      </w:r>
      <w:r>
        <w:rPr>
          <w:rFonts w:hint="eastAsia"/>
        </w:rPr>
        <w:t>智能化应用水平显著提升，逐步</w:t>
      </w:r>
      <w:r>
        <w:rPr>
          <w:rFonts w:hint="eastAsia"/>
          <w:shd w:val="clear" w:color="auto" w:fill="FFFFFF"/>
        </w:rPr>
        <w:t>形成</w:t>
      </w:r>
      <w:r>
        <w:rPr>
          <w:rFonts w:hint="eastAsia"/>
        </w:rPr>
        <w:t>基础设施基本完备</w:t>
      </w:r>
      <w:r>
        <w:rPr>
          <w:rFonts w:hint="eastAsia"/>
          <w:shd w:val="clear" w:color="auto" w:fill="FFFFFF"/>
        </w:rPr>
        <w:t>、创新要素</w:t>
      </w:r>
      <w:r>
        <w:rPr>
          <w:rFonts w:hint="eastAsia"/>
        </w:rPr>
        <w:t>加速集聚</w:t>
      </w:r>
      <w:r>
        <w:rPr>
          <w:rFonts w:hint="eastAsia"/>
          <w:shd w:val="clear" w:color="auto" w:fill="FFFFFF"/>
        </w:rPr>
        <w:t>、产业生态繁荣、治理能力现代化的</w:t>
      </w:r>
      <w:r>
        <w:rPr>
          <w:rFonts w:hint="eastAsia"/>
        </w:rPr>
        <w:t>数智</w:t>
      </w:r>
      <w:r>
        <w:rPr>
          <w:rFonts w:hint="eastAsia"/>
          <w:shd w:val="clear" w:color="auto" w:fill="FFFFFF"/>
        </w:rPr>
        <w:t>经济发展新格局。</w:t>
      </w:r>
    </w:p>
    <w:p w14:paraId="104693A3">
      <w:pPr>
        <w:keepNext w:val="0"/>
        <w:keepLines w:val="0"/>
        <w:pageBreakBefore w:val="0"/>
        <w:wordWrap/>
        <w:topLinePunct w:val="0"/>
        <w:bidi w:val="0"/>
        <w:spacing w:line="560" w:lineRule="exact"/>
        <w:ind w:firstLine="643"/>
      </w:pPr>
      <w:r>
        <w:rPr>
          <w:rFonts w:hint="eastAsia"/>
          <w:b/>
          <w:bCs/>
          <w:shd w:val="clear" w:color="auto" w:fill="FFFFFF"/>
        </w:rPr>
        <w:t>产业能级目标。</w:t>
      </w:r>
      <w:r>
        <w:rPr>
          <w:rFonts w:hint="eastAsia"/>
        </w:rPr>
        <w:t>数字经济产业规模和发展质量显著提升，数智技术与实体经济深度融合进程加快，更加注重数智提质与数智融合，赋能智能制造整体水平达到新高度，力争在省内形成具有较强发展潜力与特色的数字产业集群。</w:t>
      </w:r>
    </w:p>
    <w:p w14:paraId="2C3F6DAC">
      <w:pPr>
        <w:keepNext w:val="0"/>
        <w:keepLines w:val="0"/>
        <w:pageBreakBefore w:val="0"/>
        <w:wordWrap/>
        <w:topLinePunct w:val="0"/>
        <w:bidi w:val="0"/>
        <w:spacing w:line="560" w:lineRule="exact"/>
        <w:ind w:firstLine="643"/>
      </w:pPr>
      <w:r>
        <w:rPr>
          <w:rFonts w:hint="eastAsia"/>
          <w:b/>
          <w:bCs/>
          <w:shd w:val="clear" w:color="auto" w:fill="FFFFFF"/>
        </w:rPr>
        <w:t>创新驱动目标。</w:t>
      </w:r>
      <w:r>
        <w:rPr>
          <w:rFonts w:hint="eastAsia"/>
          <w:shd w:val="clear" w:color="auto" w:fill="FFFFFF"/>
        </w:rPr>
        <w:t>基本建成以大学城为核心引擎的</w:t>
      </w:r>
      <w:r>
        <w:rPr>
          <w:rFonts w:hint="eastAsia"/>
        </w:rPr>
        <w:t>数字</w:t>
      </w:r>
      <w:r>
        <w:rPr>
          <w:rFonts w:hint="eastAsia"/>
          <w:shd w:val="clear" w:color="auto" w:fill="FFFFFF"/>
        </w:rPr>
        <w:t>经济创新策源地，支持高校加快科研发展，引育多家</w:t>
      </w:r>
      <w:r>
        <w:rPr>
          <w:rFonts w:hint="eastAsia"/>
        </w:rPr>
        <w:t>数字</w:t>
      </w:r>
      <w:r>
        <w:rPr>
          <w:rFonts w:hint="eastAsia"/>
          <w:shd w:val="clear" w:color="auto" w:fill="FFFFFF"/>
        </w:rPr>
        <w:t>经济领域企业和创新平台，</w:t>
      </w:r>
      <w:r>
        <w:rPr>
          <w:rFonts w:hint="eastAsia"/>
        </w:rPr>
        <w:t>数字技术创新应用水平明显提升，在若干领域形成有特色的应用场景。</w:t>
      </w:r>
    </w:p>
    <w:p w14:paraId="71735D06">
      <w:pPr>
        <w:keepNext w:val="0"/>
        <w:keepLines w:val="0"/>
        <w:pageBreakBefore w:val="0"/>
        <w:wordWrap/>
        <w:topLinePunct w:val="0"/>
        <w:bidi w:val="0"/>
        <w:spacing w:line="560" w:lineRule="exact"/>
        <w:ind w:firstLine="643"/>
        <w:rPr>
          <w:shd w:val="clear" w:color="auto" w:fill="FFFFFF"/>
        </w:rPr>
      </w:pPr>
      <w:r>
        <w:rPr>
          <w:rFonts w:hint="eastAsia"/>
          <w:b/>
          <w:bCs/>
          <w:shd w:val="clear" w:color="auto" w:fill="FFFFFF"/>
        </w:rPr>
        <w:t>社会赋能目标。</w:t>
      </w:r>
      <w:r>
        <w:rPr>
          <w:rFonts w:hint="eastAsia"/>
        </w:rPr>
        <w:t>加快数字</w:t>
      </w:r>
      <w:r>
        <w:rPr>
          <w:rFonts w:hint="eastAsia"/>
          <w:shd w:val="clear" w:color="auto" w:fill="FFFFFF"/>
        </w:rPr>
        <w:t>技术与经济社会各领域深度融合，“一网通办”“一网统管”能力显著提升，智慧城市取得决定性进展，市民对</w:t>
      </w:r>
      <w:r>
        <w:rPr>
          <w:rFonts w:hint="eastAsia"/>
        </w:rPr>
        <w:t>数字</w:t>
      </w:r>
      <w:r>
        <w:rPr>
          <w:rFonts w:hint="eastAsia"/>
          <w:shd w:val="clear" w:color="auto" w:fill="FFFFFF"/>
        </w:rPr>
        <w:t>化生活的获得感、幸福感、安全感显著增强，形成普惠共享、便捷安全的发展新生态。</w:t>
      </w:r>
    </w:p>
    <w:p w14:paraId="17AAB5D9">
      <w:pPr>
        <w:pStyle w:val="4"/>
        <w:keepNext w:val="0"/>
        <w:keepLines w:val="0"/>
        <w:pageBreakBefore w:val="0"/>
        <w:wordWrap/>
        <w:topLinePunct w:val="0"/>
        <w:bidi w:val="0"/>
        <w:spacing w:line="560" w:lineRule="exact"/>
      </w:pPr>
      <w:bookmarkStart w:id="75" w:name="_Toc1545569376"/>
      <w:bookmarkStart w:id="76" w:name="_Toc1667105684"/>
      <w:bookmarkStart w:id="77" w:name="_Toc233272371"/>
      <w:r>
        <w:rPr>
          <w:rFonts w:hint="eastAsia"/>
        </w:rPr>
        <w:t>第二节 夯实两大基础，激活数据新要素</w:t>
      </w:r>
      <w:bookmarkEnd w:id="75"/>
      <w:bookmarkEnd w:id="76"/>
      <w:bookmarkEnd w:id="77"/>
    </w:p>
    <w:p w14:paraId="3B1BBC2A">
      <w:pPr>
        <w:keepNext w:val="0"/>
        <w:keepLines w:val="0"/>
        <w:pageBreakBefore w:val="0"/>
        <w:wordWrap/>
        <w:topLinePunct w:val="0"/>
        <w:bidi w:val="0"/>
        <w:spacing w:line="560" w:lineRule="exact"/>
        <w:ind w:firstLine="640"/>
        <w:rPr>
          <w:shd w:val="clear" w:color="auto" w:fill="FFFFFF"/>
        </w:rPr>
      </w:pPr>
      <w:r>
        <w:rPr>
          <w:rFonts w:hint="eastAsia"/>
          <w:shd w:val="clear" w:color="auto" w:fill="FFFFFF"/>
        </w:rPr>
        <w:t>以建设高速泛在、智能融合的新型基础设施体系为基础，以构建协同高效、惠民便商的数字政府为关键，共同赋能</w:t>
      </w:r>
      <w:r>
        <w:rPr>
          <w:rFonts w:hint="eastAsia"/>
        </w:rPr>
        <w:t>数字</w:t>
      </w:r>
      <w:r>
        <w:rPr>
          <w:rFonts w:hint="eastAsia"/>
          <w:shd w:val="clear" w:color="auto" w:fill="FFFFFF"/>
        </w:rPr>
        <w:t>经济高质量发展，激发数据要素的核心价值。</w:t>
      </w:r>
    </w:p>
    <w:p w14:paraId="2882B998">
      <w:pPr>
        <w:keepNext w:val="0"/>
        <w:keepLines w:val="0"/>
        <w:pageBreakBefore w:val="0"/>
        <w:wordWrap/>
        <w:topLinePunct w:val="0"/>
        <w:bidi w:val="0"/>
        <w:spacing w:line="560" w:lineRule="exact"/>
        <w:ind w:firstLine="643"/>
        <w:rPr>
          <w:shd w:val="clear" w:color="auto" w:fill="FFFFFF"/>
        </w:rPr>
      </w:pPr>
      <w:r>
        <w:rPr>
          <w:rFonts w:hint="eastAsia"/>
          <w:b/>
          <w:bCs/>
          <w:shd w:val="clear" w:color="auto" w:fill="FFFFFF"/>
        </w:rPr>
        <w:t>筑牢新型数字基础设施底座。</w:t>
      </w:r>
      <w:r>
        <w:rPr>
          <w:rFonts w:hint="eastAsia"/>
          <w:shd w:val="clear" w:color="auto" w:fill="FFFFFF"/>
        </w:rPr>
        <w:t> </w:t>
      </w:r>
      <w:r>
        <w:rPr>
          <w:rFonts w:hint="eastAsia"/>
          <w:b/>
          <w:bCs/>
          <w:shd w:val="clear" w:color="auto" w:fill="FFFFFF"/>
        </w:rPr>
        <w:t>建设高质量通信网络，</w:t>
      </w:r>
      <w:r>
        <w:rPr>
          <w:rFonts w:hint="eastAsia"/>
          <w:shd w:val="clear" w:color="auto" w:fill="FFFFFF"/>
        </w:rPr>
        <w:t>全面推进5G网络深度覆盖，深化“双千兆”网络的城乡无缝衔接，2030年前实现行政村5G和千兆光网全覆盖。探索在产业园区、重点企业等区域部署F5G-A网络，在低空经济、智能制造、智能网联汽车等领域部署5G-A网络，为新质生产力提供确定性、高品质的网络连接。</w:t>
      </w:r>
      <w:r>
        <w:rPr>
          <w:rFonts w:hint="eastAsia"/>
        </w:rPr>
        <w:t>探索布局6G技术产业，密切跟踪6G技术研发和标准化进程，探索6G技术在智能制造、智慧农业、低空经济等领域的应用。</w:t>
      </w:r>
      <w:r>
        <w:rPr>
          <w:rStyle w:val="19"/>
          <w:rFonts w:hint="eastAsia"/>
          <w:bCs/>
          <w:shd w:val="clear" w:color="auto" w:fill="FFFFFF"/>
        </w:rPr>
        <w:t>布局高效算力基础设施，</w:t>
      </w:r>
      <w:r>
        <w:rPr>
          <w:rFonts w:hint="eastAsia"/>
          <w:shd w:val="clear" w:color="auto" w:fill="FFFFFF"/>
        </w:rPr>
        <w:t>依托长清大学城科教人才优势，加快布局算力基础设施建设，为人工智能、大数据等产业发展提供强大算力支撑。积极融入 “山东算网” 体系，鼓励发展集约化、绿色化的数据，为全区各行业提供“即取即用、质优价廉”的公共算力服务。</w:t>
      </w:r>
      <w:r>
        <w:rPr>
          <w:rFonts w:hint="eastAsia"/>
          <w:b/>
          <w:bCs/>
          <w:shd w:val="clear" w:color="auto" w:fill="FFFFFF"/>
        </w:rPr>
        <w:t>构建统一数据资源体系，</w:t>
      </w:r>
      <w:r>
        <w:rPr>
          <w:rFonts w:hint="eastAsia"/>
          <w:shd w:val="clear" w:color="auto" w:fill="FFFFFF"/>
        </w:rPr>
        <w:t>依托大数据平台，完善政务数据、产业数据、社会数据等多元数据的采集汇聚，推进跨部门数据业务协同。逐步实现数据共享交换，提升公共数据开放率，优先开放与民生紧密相关、社会需求强烈的数据资源，有序稳妥开放产业数据，为产业分析、精准招商和转型决策提供数据支撑。重点围绕教育科技、文化旅游、交通运输、市场监管等领域，鼓励企业、科研机构等进行创新开发，打造一批实用好用的示范型应用场景，提高核心数据质量达标率。在智能制造、智慧文旅等领域开展数据要素应用示范，探索建立车联网基础设施，培育车联网应用场景，到2030年，力争打造10个以上高质量数据开放应用场景。</w:t>
      </w:r>
    </w:p>
    <w:p w14:paraId="2BAC5EFC">
      <w:pPr>
        <w:keepNext w:val="0"/>
        <w:keepLines w:val="0"/>
        <w:pageBreakBefore w:val="0"/>
        <w:wordWrap/>
        <w:topLinePunct w:val="0"/>
        <w:bidi w:val="0"/>
        <w:spacing w:line="560" w:lineRule="exact"/>
        <w:ind w:firstLine="643"/>
      </w:pPr>
      <w:r>
        <w:rPr>
          <w:rFonts w:hint="eastAsia"/>
          <w:b/>
          <w:bCs/>
          <w:shd w:val="clear" w:color="auto" w:fill="FFFFFF"/>
        </w:rPr>
        <w:t>强化数字政府服务基石</w:t>
      </w:r>
      <w:r>
        <w:rPr>
          <w:rStyle w:val="19"/>
          <w:rFonts w:hint="eastAsia"/>
          <w:bCs/>
          <w:shd w:val="clear" w:color="auto" w:fill="FFFFFF"/>
        </w:rPr>
        <w:t>。完善</w:t>
      </w:r>
      <w:r>
        <w:rPr>
          <w:rFonts w:hint="eastAsia"/>
          <w:b/>
          <w:bCs/>
          <w:shd w:val="clear" w:color="auto" w:fill="FFFFFF"/>
        </w:rPr>
        <w:t>政务服务体系</w:t>
      </w:r>
      <w:r>
        <w:rPr>
          <w:rFonts w:hint="eastAsia"/>
          <w:shd w:val="clear" w:color="auto" w:fill="FFFFFF"/>
        </w:rPr>
        <w:t>，强化“标准化+智能化”政务服务，加大数字化改造服务，全面统一和规范区、街（镇）、村（社区）三级政务服务事项的办理标准、流程。深入推进教育、社保、医疗、税务等高频事项“一次办”“掌上办”“码上办”，全面深化“无证明城市”建设，强化电子证照、电子印章、电子材料的全域制发与共享互认。</w:t>
      </w:r>
      <w:r>
        <w:rPr>
          <w:rFonts w:hint="eastAsia"/>
          <w:b/>
          <w:bCs/>
          <w:shd w:val="clear" w:color="auto" w:fill="FFFFFF"/>
        </w:rPr>
        <w:t>推动服务模式创新，</w:t>
      </w:r>
      <w:r>
        <w:rPr>
          <w:shd w:val="clear" w:color="auto" w:fill="FFFFFF"/>
        </w:rPr>
        <w:t>运用大数据和人工智能技术，</w:t>
      </w:r>
      <w:r>
        <w:rPr>
          <w:rFonts w:hint="eastAsia"/>
          <w:shd w:val="clear" w:color="auto" w:fill="FFFFFF"/>
        </w:rPr>
        <w:t>探索</w:t>
      </w:r>
      <w:r>
        <w:rPr>
          <w:shd w:val="clear" w:color="auto" w:fill="FFFFFF"/>
        </w:rPr>
        <w:t>在“爱山东·泉城办”长清分厅建设智能客服、个性化政策推送功能。基于“泉城链”底座，在大学生就业补贴申领、特色农产品企业资质办理等领域，推动“免申即享”“秒批秒办”。探索利用大学城科研优势，联合开展智慧政务技术攻关，试点政务服务数字人应用，让服务从“人找事”变为“智找人”。</w:t>
      </w:r>
      <w:r>
        <w:rPr>
          <w:b/>
          <w:bCs/>
          <w:shd w:val="clear" w:color="auto" w:fill="FFFFFF"/>
        </w:rPr>
        <w:t>推动服务资源下沉，</w:t>
      </w:r>
      <w:r>
        <w:rPr>
          <w:rFonts w:hint="eastAsia"/>
          <w:shd w:val="clear" w:color="auto" w:fill="FFFFFF"/>
        </w:rPr>
        <w:t>探索</w:t>
      </w:r>
      <w:r>
        <w:rPr>
          <w:shd w:val="clear" w:color="auto" w:fill="FFFFFF"/>
        </w:rPr>
        <w:t>在高校、园区、</w:t>
      </w:r>
      <w:r>
        <w:rPr>
          <w:rFonts w:hint="eastAsia"/>
        </w:rPr>
        <w:t>街道（镇）</w:t>
      </w:r>
      <w:r>
        <w:rPr>
          <w:shd w:val="clear" w:color="auto" w:fill="FFFFFF"/>
        </w:rPr>
        <w:t>布设政务</w:t>
      </w:r>
      <w:r>
        <w:rPr>
          <w:rFonts w:hint="eastAsia"/>
          <w:shd w:val="clear" w:color="auto" w:fill="FFFFFF"/>
        </w:rPr>
        <w:t>服务自助终端</w:t>
      </w:r>
      <w:r>
        <w:rPr>
          <w:shd w:val="clear" w:color="auto" w:fill="FFFFFF"/>
        </w:rPr>
        <w:t>，提供面对面辅导和帮办代办。</w:t>
      </w:r>
      <w:r>
        <w:rPr>
          <w:rFonts w:hint="eastAsia"/>
          <w:shd w:val="clear" w:color="auto" w:fill="FFFFFF"/>
        </w:rPr>
        <w:t>构建“数字+宣传+网信”新格局，发展数字宣传新业态，鼓励创作宣传数字产品，让更多的数据资源下沉基层。</w:t>
      </w:r>
    </w:p>
    <w:p w14:paraId="22A435C1">
      <w:pPr>
        <w:pStyle w:val="4"/>
        <w:keepNext w:val="0"/>
        <w:keepLines w:val="0"/>
        <w:pageBreakBefore w:val="0"/>
        <w:wordWrap/>
        <w:topLinePunct w:val="0"/>
        <w:bidi w:val="0"/>
        <w:spacing w:line="560" w:lineRule="exact"/>
      </w:pPr>
      <w:bookmarkStart w:id="78" w:name="_Toc1676633208"/>
      <w:bookmarkStart w:id="79" w:name="_Toc253288890"/>
      <w:bookmarkStart w:id="80" w:name="_Toc233272372"/>
      <w:r>
        <w:rPr>
          <w:rFonts w:hint="eastAsia"/>
        </w:rPr>
        <w:t>第三节 聚焦三大发展方向，培育</w:t>
      </w:r>
      <w:r>
        <w:rPr>
          <w:rFonts w:hint="eastAsia" w:cs="仿宋_GB2312"/>
          <w:szCs w:val="32"/>
          <w:shd w:val="clear" w:color="auto" w:fill="FFFFFF"/>
        </w:rPr>
        <w:t>数智</w:t>
      </w:r>
      <w:r>
        <w:rPr>
          <w:rFonts w:hint="eastAsia"/>
        </w:rPr>
        <w:t>经济核心动能</w:t>
      </w:r>
      <w:bookmarkEnd w:id="78"/>
      <w:bookmarkEnd w:id="79"/>
      <w:bookmarkEnd w:id="80"/>
    </w:p>
    <w:p w14:paraId="10130FD2">
      <w:pPr>
        <w:keepNext w:val="0"/>
        <w:keepLines w:val="0"/>
        <w:pageBreakBefore w:val="0"/>
        <w:wordWrap/>
        <w:topLinePunct w:val="0"/>
        <w:bidi w:val="0"/>
        <w:spacing w:line="560" w:lineRule="exact"/>
        <w:ind w:firstLine="640"/>
        <w:rPr>
          <w:shd w:val="clear" w:color="auto" w:fill="FFFFFF"/>
        </w:rPr>
      </w:pPr>
      <w:r>
        <w:rPr>
          <w:rFonts w:hint="eastAsia"/>
          <w:shd w:val="clear" w:color="auto" w:fill="FFFFFF"/>
        </w:rPr>
        <w:t>本节聚焦数字产业化、产业数字化和数字化治理三大方向，通过新兴产业培育，推动智能制造、电商生态、智慧农业等全链条数字化转型，深化政策、人才和营商环境支撑，系统构建“数智长清”发展的新格局。</w:t>
      </w:r>
    </w:p>
    <w:p w14:paraId="648D3442">
      <w:pPr>
        <w:keepNext w:val="0"/>
        <w:keepLines w:val="0"/>
        <w:pageBreakBefore w:val="0"/>
        <w:wordWrap/>
        <w:topLinePunct w:val="0"/>
        <w:bidi w:val="0"/>
        <w:spacing w:line="560" w:lineRule="exact"/>
        <w:ind w:firstLine="643"/>
        <w:rPr>
          <w:shd w:val="clear" w:color="auto" w:fill="FFFFFF"/>
        </w:rPr>
      </w:pPr>
      <w:r>
        <w:rPr>
          <w:rStyle w:val="19"/>
          <w:rFonts w:hint="eastAsia"/>
          <w:bCs/>
          <w:shd w:val="clear" w:color="auto" w:fill="FFFFFF"/>
        </w:rPr>
        <w:t>数字产业化，培育新兴产业集群。</w:t>
      </w:r>
      <w:r>
        <w:rPr>
          <w:rFonts w:hint="eastAsia"/>
          <w:shd w:val="clear" w:color="auto" w:fill="FFFFFF"/>
        </w:rPr>
        <w:t>以创新谷为核心，依托西城软件园、晶格广场等创新创业载体，用好山东省网络视听产业基地金字招牌，重点引进数字内容制作、AI渲染、VR/AR开发等企业，</w:t>
      </w:r>
      <w:r>
        <w:rPr>
          <w:shd w:val="clear" w:color="auto" w:fill="FFFFFF"/>
        </w:rPr>
        <w:t>加速汇聚优质企业及创新资源，完善从内容创制到技术应用的产业生态，构建具有核心竞争力的产业集群。探索布局人工智能产业，依托大学城科创资源，推动人工智能在智能制造、智慧农业、文旅等领域的应用，赋能区内装备制造、农</w:t>
      </w:r>
      <w:r>
        <w:rPr>
          <w:rFonts w:hint="eastAsia"/>
          <w:shd w:val="clear" w:color="auto" w:fill="FFFFFF"/>
        </w:rPr>
        <w:t>业</w:t>
      </w:r>
      <w:r>
        <w:rPr>
          <w:shd w:val="clear" w:color="auto" w:fill="FFFFFF"/>
        </w:rPr>
        <w:t>、文旅服务等产业降本增效，培育一批具有长清特色的AI应用场景。</w:t>
      </w:r>
    </w:p>
    <w:p w14:paraId="6989289F">
      <w:pPr>
        <w:keepNext w:val="0"/>
        <w:keepLines w:val="0"/>
        <w:pageBreakBefore w:val="0"/>
        <w:wordWrap/>
        <w:topLinePunct w:val="0"/>
        <w:bidi w:val="0"/>
        <w:spacing w:line="560" w:lineRule="exact"/>
        <w:ind w:firstLine="643"/>
        <w:jc w:val="left"/>
        <w:rPr>
          <w:shd w:val="clear" w:color="auto" w:fill="FFFFFF"/>
        </w:rPr>
      </w:pPr>
      <w:r>
        <w:rPr>
          <w:rStyle w:val="19"/>
          <w:rFonts w:hint="eastAsia"/>
          <w:bCs/>
          <w:shd w:val="clear" w:color="auto" w:fill="FFFFFF"/>
        </w:rPr>
        <w:t>产业数字化，推动全域转型升级。</w:t>
      </w:r>
      <w:r>
        <w:rPr>
          <w:shd w:val="clear" w:color="auto" w:fill="FFFFFF"/>
        </w:rPr>
        <w:t>深度实施</w:t>
      </w:r>
      <w:r>
        <w:rPr>
          <w:rFonts w:hint="eastAsia"/>
          <w:shd w:val="clear" w:color="auto" w:fill="FFFFFF"/>
        </w:rPr>
        <w:t>数字</w:t>
      </w:r>
      <w:r>
        <w:rPr>
          <w:shd w:val="clear" w:color="auto" w:fill="FFFFFF"/>
        </w:rPr>
        <w:t>化转型行动，加快推动企业</w:t>
      </w:r>
      <w:r>
        <w:rPr>
          <w:rFonts w:hint="eastAsia"/>
          <w:shd w:val="clear" w:color="auto" w:fill="FFFFFF"/>
        </w:rPr>
        <w:t>数字</w:t>
      </w:r>
      <w:r>
        <w:rPr>
          <w:shd w:val="clear" w:color="auto" w:fill="FFFFFF"/>
        </w:rPr>
        <w:t>升级实现新突破。</w:t>
      </w:r>
      <w:r>
        <w:rPr>
          <w:rFonts w:hint="eastAsia"/>
          <w:shd w:val="clear" w:color="auto" w:fill="FFFFFF"/>
        </w:rPr>
        <w:t>在工业领域，推动智能制造和工业互联网应用，支持企业深度参与“人工智能大模型创新工厂”建设，强化工业互联网园区配套设施建设，打造“数字车间”“智慧工厂”，积极推动企业开展数字项目，培育“晨星工厂”，建设一批“5G+工业互联网”工厂。立足传统产业，积极推动企业实施设备联网、数据采集等数字化项目，鼓励企业开展智能改造和算法应用，加快产业链数字化、智能化协同发展。在服务业领域，培育壮大电商市场经营主体，优化电商发展生态，深化数字金融应用，鼓励金融机构开发适应电商特色的供应链金融、信用贷款等产品，精准破解中小电商企业融资难题。提升智慧物流能级，依托现有物流企业，优化区域配送网络，构建高效畅通的电商供应链体系。在农业领域，大力发展数字农业，建设一批智慧农业基地，依托大豆玉米带状复合种植“国家数字种植创新应用基地”，推动遥感、物联网、人工智能等技术在种植全链条深度融合</w:t>
      </w:r>
      <w:r>
        <w:rPr>
          <w:shd w:val="clear" w:color="auto" w:fill="FFFFFF"/>
        </w:rPr>
        <w:t>，积极探索算法应用、智能决策等智能化技术在粮食生产、设施农业等领域的应用</w:t>
      </w:r>
      <w:r>
        <w:rPr>
          <w:rFonts w:hint="eastAsia"/>
          <w:shd w:val="clear" w:color="auto" w:fill="FFFFFF"/>
        </w:rPr>
        <w:t>，</w:t>
      </w:r>
      <w:r>
        <w:rPr>
          <w:shd w:val="clear" w:color="auto" w:fill="FFFFFF"/>
        </w:rPr>
        <w:t>让</w:t>
      </w:r>
      <w:r>
        <w:rPr>
          <w:rFonts w:hint="eastAsia"/>
          <w:shd w:val="clear" w:color="auto" w:fill="FFFFFF"/>
        </w:rPr>
        <w:t>数智</w:t>
      </w:r>
      <w:r>
        <w:rPr>
          <w:shd w:val="clear" w:color="auto" w:fill="FFFFFF"/>
        </w:rPr>
        <w:t>技术惠及更多农户。</w:t>
      </w:r>
      <w:r>
        <w:rPr>
          <w:rFonts w:hint="eastAsia"/>
          <w:shd w:val="clear" w:color="auto" w:fill="FFFFFF"/>
        </w:rPr>
        <w:t>大力发展张夏玉杏、五峰樱桃、长清茶等特色农产品，搭建多平台电商运营体系，打通电商营销渠道，加强</w:t>
      </w:r>
      <w:r>
        <w:rPr>
          <w:shd w:val="clear" w:color="auto" w:fill="FFFFFF"/>
        </w:rPr>
        <w:t>品牌塑造、供应链优化</w:t>
      </w:r>
      <w:r>
        <w:rPr>
          <w:rFonts w:hint="eastAsia"/>
          <w:shd w:val="clear" w:color="auto" w:fill="FFFFFF"/>
        </w:rPr>
        <w:t>、</w:t>
      </w:r>
      <w:r>
        <w:rPr>
          <w:shd w:val="clear" w:color="auto" w:fill="FFFFFF"/>
        </w:rPr>
        <w:t>数字化营销，实现优质优价。</w:t>
      </w:r>
    </w:p>
    <w:p w14:paraId="480994E9">
      <w:pPr>
        <w:keepNext w:val="0"/>
        <w:keepLines w:val="0"/>
        <w:pageBreakBefore w:val="0"/>
        <w:wordWrap/>
        <w:topLinePunct w:val="0"/>
        <w:bidi w:val="0"/>
        <w:spacing w:line="560" w:lineRule="exact"/>
        <w:ind w:firstLine="643"/>
        <w:rPr>
          <w:shd w:val="clear" w:color="auto" w:fill="FFFFFF"/>
        </w:rPr>
      </w:pPr>
      <w:r>
        <w:rPr>
          <w:rFonts w:hint="eastAsia"/>
          <w:b/>
          <w:bCs/>
          <w:shd w:val="clear" w:color="auto" w:fill="FFFFFF"/>
        </w:rPr>
        <w:t>数字化治理，优化数字经济发展环境。</w:t>
      </w:r>
      <w:r>
        <w:rPr>
          <w:shd w:val="clear" w:color="auto" w:fill="FFFFFF"/>
        </w:rPr>
        <w:t> 探索建立全区统一的数据资源管理体系，</w:t>
      </w:r>
      <w:r>
        <w:rPr>
          <w:rFonts w:hint="eastAsia"/>
          <w:shd w:val="clear" w:color="auto" w:fill="FFFFFF"/>
        </w:rPr>
        <w:t>实现政策精准推送、服务在线集成，降低制度性交易成本。建立健全以</w:t>
      </w:r>
      <w:r>
        <w:rPr>
          <w:shd w:val="clear" w:color="auto" w:fill="FFFFFF"/>
        </w:rPr>
        <w:t>信用为基础、以数据为驱动的分级分类监管机制，</w:t>
      </w:r>
      <w:r>
        <w:rPr>
          <w:rFonts w:hint="eastAsia"/>
          <w:shd w:val="clear" w:color="auto" w:fill="FFFFFF"/>
        </w:rPr>
        <w:t>实施精准化监管，</w:t>
      </w:r>
      <w:r>
        <w:rPr>
          <w:shd w:val="clear" w:color="auto" w:fill="FFFFFF"/>
        </w:rPr>
        <w:t>减少对守法合规企业的干扰</w:t>
      </w:r>
      <w:r>
        <w:rPr>
          <w:rFonts w:hint="eastAsia"/>
          <w:shd w:val="clear" w:color="auto" w:fill="FFFFFF"/>
        </w:rPr>
        <w:t>。加强政策支持，积极争取省市政策，制定完善支持数字经济发展措施，</w:t>
      </w:r>
      <w:r>
        <w:rPr>
          <w:shd w:val="clear" w:color="auto" w:fill="FFFFFF"/>
        </w:rPr>
        <w:t>提升政务服务效率、</w:t>
      </w:r>
      <w:r>
        <w:rPr>
          <w:rFonts w:hint="eastAsia"/>
          <w:shd w:val="clear" w:color="auto" w:fill="FFFFFF"/>
        </w:rPr>
        <w:t>加大</w:t>
      </w:r>
      <w:r>
        <w:rPr>
          <w:shd w:val="clear" w:color="auto" w:fill="FFFFFF"/>
        </w:rPr>
        <w:t>在</w:t>
      </w:r>
      <w:r>
        <w:rPr>
          <w:rFonts w:hint="eastAsia"/>
          <w:shd w:val="clear" w:color="auto" w:fill="FFFFFF"/>
        </w:rPr>
        <w:t>要素协调、</w:t>
      </w:r>
      <w:r>
        <w:rPr>
          <w:shd w:val="clear" w:color="auto" w:fill="FFFFFF"/>
        </w:rPr>
        <w:t>市场准入、人才引进、创新应用等方面</w:t>
      </w:r>
      <w:r>
        <w:rPr>
          <w:rFonts w:hint="eastAsia"/>
          <w:shd w:val="clear" w:color="auto" w:fill="FFFFFF"/>
        </w:rPr>
        <w:t>的服务力度，</w:t>
      </w:r>
      <w:r>
        <w:rPr>
          <w:shd w:val="clear" w:color="auto" w:fill="FFFFFF"/>
        </w:rPr>
        <w:t>吸引和培育优质</w:t>
      </w:r>
      <w:r>
        <w:rPr>
          <w:rFonts w:hint="eastAsia"/>
          <w:shd w:val="clear" w:color="auto" w:fill="FFFFFF"/>
        </w:rPr>
        <w:t>数字</w:t>
      </w:r>
      <w:r>
        <w:rPr>
          <w:shd w:val="clear" w:color="auto" w:fill="FFFFFF"/>
        </w:rPr>
        <w:t>经济企业集聚发展。</w:t>
      </w:r>
      <w:r>
        <w:rPr>
          <w:rFonts w:hint="eastAsia"/>
          <w:shd w:val="clear" w:color="auto" w:fill="FFFFFF"/>
        </w:rPr>
        <w:t>强化人才培养与引进，鼓励校企共建创新平台和人才培养体系，加大数字经济领域的高端人才和专业团队招引力度，为数字经济发展提供人才支撑。</w:t>
      </w:r>
    </w:p>
    <w:p w14:paraId="44DC32C9">
      <w:pPr>
        <w:pStyle w:val="4"/>
        <w:keepNext w:val="0"/>
        <w:keepLines w:val="0"/>
        <w:pageBreakBefore w:val="0"/>
        <w:wordWrap/>
        <w:topLinePunct w:val="0"/>
        <w:bidi w:val="0"/>
        <w:spacing w:line="560" w:lineRule="exact"/>
      </w:pPr>
      <w:bookmarkStart w:id="81" w:name="_Toc197239188"/>
      <w:bookmarkStart w:id="82" w:name="_Toc1004618954"/>
      <w:bookmarkStart w:id="83" w:name="_Toc233272373"/>
      <w:r>
        <w:rPr>
          <w:rFonts w:hint="eastAsia"/>
        </w:rPr>
        <w:t>第四节 强化四大支撑，加快</w:t>
      </w:r>
      <w:r>
        <w:rPr>
          <w:rFonts w:hint="eastAsia" w:cs="仿宋_GB2312"/>
          <w:szCs w:val="32"/>
          <w:shd w:val="clear" w:color="auto" w:fill="FFFFFF"/>
        </w:rPr>
        <w:t>数智</w:t>
      </w:r>
      <w:r>
        <w:rPr>
          <w:rFonts w:hint="eastAsia"/>
        </w:rPr>
        <w:t>社会建设</w:t>
      </w:r>
      <w:bookmarkEnd w:id="81"/>
      <w:bookmarkEnd w:id="82"/>
      <w:bookmarkEnd w:id="83"/>
    </w:p>
    <w:p w14:paraId="641BE543">
      <w:pPr>
        <w:keepNext w:val="0"/>
        <w:keepLines w:val="0"/>
        <w:pageBreakBefore w:val="0"/>
        <w:wordWrap/>
        <w:topLinePunct w:val="0"/>
        <w:bidi w:val="0"/>
        <w:spacing w:line="560" w:lineRule="exact"/>
        <w:ind w:firstLine="643"/>
        <w:rPr>
          <w:shd w:val="clear" w:color="auto" w:fill="FFFFFF"/>
        </w:rPr>
      </w:pPr>
      <w:r>
        <w:rPr>
          <w:rStyle w:val="19"/>
          <w:rFonts w:hint="eastAsia"/>
          <w:bCs/>
          <w:shd w:val="clear" w:color="auto" w:fill="FFFFFF"/>
        </w:rPr>
        <w:t>强化数字平台支撑，提升城市智慧水平。</w:t>
      </w:r>
      <w:r>
        <w:rPr>
          <w:rFonts w:hint="eastAsia"/>
          <w:shd w:val="clear" w:color="auto" w:fill="FFFFFF"/>
        </w:rPr>
        <w:t>深化建设城市大脑城管系统，完善城市运行管理服务平台，实现对城市运行管理服务事项的源头管控、过程预测、预警预报、应急处置和综合治理。围绕“一网统管”目标，完善城市运行指挥调度体系，强化数据智能分析能力，加强互联网应急指挥中心建设，积极融入四级指挥调度通讯建设，提高综合治理能力。智慧城市提档升级，严格对标省级五星级智慧城市指标，到2030年，打造2个以上代表型智慧社区、10个以上成长型智慧社区。</w:t>
      </w:r>
    </w:p>
    <w:p w14:paraId="25005660">
      <w:pPr>
        <w:keepNext w:val="0"/>
        <w:keepLines w:val="0"/>
        <w:pageBreakBefore w:val="0"/>
        <w:wordWrap/>
        <w:topLinePunct w:val="0"/>
        <w:bidi w:val="0"/>
        <w:spacing w:line="560" w:lineRule="exact"/>
        <w:ind w:firstLine="643"/>
        <w:jc w:val="left"/>
        <w:rPr>
          <w:shd w:val="clear" w:color="auto" w:fill="FFFFFF"/>
        </w:rPr>
      </w:pPr>
      <w:r>
        <w:rPr>
          <w:rStyle w:val="19"/>
          <w:rFonts w:hint="eastAsia"/>
          <w:bCs/>
          <w:shd w:val="clear" w:color="auto" w:fill="FFFFFF"/>
        </w:rPr>
        <w:t>强化数字生活支撑，推动公共服务普惠便捷。</w:t>
      </w:r>
      <w:r>
        <w:rPr>
          <w:rFonts w:hint="eastAsia"/>
          <w:shd w:val="clear" w:color="auto" w:fill="FFFFFF"/>
        </w:rPr>
        <w:t>着力构建全域畅享的“智慧生活示范区”。在交通领域，积极规划数字化交通设施建设体系，探索在新建、改扩建道路中应用物联网、光伏发电、智能感知等技术和设施，</w:t>
      </w:r>
      <w:r>
        <w:rPr>
          <w:shd w:val="clear" w:color="auto" w:fill="FFFFFF"/>
        </w:rPr>
        <w:t>拓展智慧停车“一张网”。</w:t>
      </w:r>
      <w:r>
        <w:rPr>
          <w:rFonts w:hint="eastAsia"/>
          <w:shd w:val="clear" w:color="auto" w:fill="FFFFFF"/>
        </w:rPr>
        <w:t>在教育领域，深入推进智慧校园建设，创新信息化教育教学模式，推动驻区高校优质课程资源与中小学智慧课堂互联共享，构建以学习者为中心的新型教育生态。在健康领域，深化城市大脑卫健系统“舒心就医”和“电子健康档案开放共享”场景应用，深入推进智慧医院建设，推广应用数字医共体，推广个性化健康管理服务，推动人工智能、物联网、5G等新技术在医疗健康领域的创新应用。在就业领域，完善就业大数据库，深化“互联网+就业”智能服务平台建设，提升智能化就业服务水平。在养老领域，推动智慧化应用融入居家养老服务中心发展和适老化改造，探索人工智能养老创新，发展智慧康养。</w:t>
      </w:r>
    </w:p>
    <w:p w14:paraId="4B85C775">
      <w:pPr>
        <w:keepNext w:val="0"/>
        <w:keepLines w:val="0"/>
        <w:pageBreakBefore w:val="0"/>
        <w:wordWrap/>
        <w:topLinePunct w:val="0"/>
        <w:bidi w:val="0"/>
        <w:spacing w:line="560" w:lineRule="exact"/>
        <w:ind w:firstLine="643"/>
        <w:jc w:val="left"/>
        <w:rPr>
          <w:shd w:val="clear" w:color="auto" w:fill="FFFFFF"/>
        </w:rPr>
      </w:pPr>
      <w:r>
        <w:rPr>
          <w:rStyle w:val="19"/>
          <w:rFonts w:hint="eastAsia"/>
          <w:bCs/>
          <w:shd w:val="clear" w:color="auto" w:fill="FFFFFF"/>
        </w:rPr>
        <w:t>强化数字生态支撑，营造开放有序发展环境。</w:t>
      </w:r>
      <w:r>
        <w:rPr>
          <w:rFonts w:hint="eastAsia"/>
          <w:shd w:val="clear" w:color="auto" w:fill="FFFFFF"/>
        </w:rPr>
        <w:t>大力推进交通大数据和基础设施建设智慧管理，加强数字化公共服务体系建设，提供更智能、更精准、更丰富的公共服务。鼓励高校、企业联合设立数据创新实验室，推动公共数据在智慧农业、精准医疗等特色领域的社会化增值开发。依托创新谷平台优势，支持建设基于区块链技术的可信数据交易服务平台，培育数据经纪人等新兴业态。强化济南经开区工业互联网标识解析节点、政务云平台等关键信息基础设施安全防护，构建涵盖数据分级分类、应急响应的全域可信安全体系，为数据要素市场化流通保驾护航。</w:t>
      </w:r>
    </w:p>
    <w:p w14:paraId="38F7073C">
      <w:pPr>
        <w:keepNext w:val="0"/>
        <w:keepLines w:val="0"/>
        <w:pageBreakBefore w:val="0"/>
        <w:wordWrap/>
        <w:topLinePunct w:val="0"/>
        <w:bidi w:val="0"/>
        <w:spacing w:line="560" w:lineRule="exact"/>
        <w:ind w:firstLine="643"/>
        <w:jc w:val="left"/>
        <w:rPr>
          <w:shd w:val="clear" w:color="auto" w:fill="FFFFFF"/>
        </w:rPr>
      </w:pPr>
      <w:r>
        <w:rPr>
          <w:rStyle w:val="19"/>
          <w:rFonts w:hint="eastAsia"/>
          <w:bCs/>
          <w:shd w:val="clear" w:color="auto" w:fill="FFFFFF"/>
        </w:rPr>
        <w:t>强化数字</w:t>
      </w:r>
      <w:r>
        <w:rPr>
          <w:rFonts w:hint="eastAsia"/>
          <w:b/>
          <w:bCs/>
          <w:shd w:val="clear" w:color="auto" w:fill="FFFFFF"/>
        </w:rPr>
        <w:t>文化支撑，培育长清文明新风。</w:t>
      </w:r>
      <w:r>
        <w:rPr>
          <w:rFonts w:hint="eastAsia"/>
          <w:shd w:val="clear" w:color="auto" w:fill="FFFFFF"/>
        </w:rPr>
        <w:t>实施文化资源数字化工程，加强对灵岩寺、齐长城等历史文化遗产和黄河文化、扁鹊文化等特色资源的数字化应用，打造线上线下联动的“数字文旅长廊”深化20秒入院、30秒入驻、数字旅游专线等“多游一小时”服务场景应用，提升文旅数字化服务能力。加强全民数字素养与技能提升，在社区和乡村开展防范网络诈骗、识别虚假信息等公益培训，着力消除数字鸿沟。强化网络文明建设，引导培育积极健康的网络文化，规范自媒体内容创作与传播秩序，营造清朗的网络空间。</w:t>
      </w:r>
    </w:p>
    <w:p w14:paraId="30FA1884">
      <w:pPr>
        <w:keepNext w:val="0"/>
        <w:keepLines w:val="0"/>
        <w:pageBreakBefore w:val="0"/>
        <w:wordWrap/>
        <w:topLinePunct w:val="0"/>
        <w:bidi w:val="0"/>
        <w:spacing w:line="560" w:lineRule="exact"/>
        <w:ind w:firstLine="640"/>
        <w:rPr>
          <w:rFonts w:ascii="黑体" w:hAnsi="黑体" w:eastAsia="黑体" w:cs="黑体"/>
          <w:szCs w:val="22"/>
        </w:rPr>
      </w:pPr>
      <w:r>
        <w:rPr>
          <w:rFonts w:hint="eastAsia" w:ascii="黑体" w:hAnsi="黑体" w:eastAsia="黑体" w:cs="黑体"/>
          <w:szCs w:val="22"/>
        </w:rPr>
        <w:br w:type="page"/>
      </w:r>
    </w:p>
    <w:p w14:paraId="6DB08A50">
      <w:pPr>
        <w:pStyle w:val="3"/>
        <w:keepNext w:val="0"/>
        <w:keepLines w:val="0"/>
        <w:pageBreakBefore w:val="0"/>
        <w:wordWrap/>
        <w:topLinePunct w:val="0"/>
        <w:bidi w:val="0"/>
        <w:spacing w:line="560" w:lineRule="exact"/>
        <w:rPr>
          <w:rFonts w:hint="eastAsia"/>
        </w:rPr>
      </w:pPr>
      <w:bookmarkStart w:id="84" w:name="_Toc1721177121"/>
      <w:bookmarkStart w:id="85" w:name="_Toc1204065031"/>
      <w:bookmarkStart w:id="86" w:name="_Toc128461087"/>
    </w:p>
    <w:p w14:paraId="1D1A892A">
      <w:pPr>
        <w:pStyle w:val="3"/>
        <w:keepNext w:val="0"/>
        <w:keepLines w:val="0"/>
        <w:pageBreakBefore w:val="0"/>
        <w:wordWrap/>
        <w:topLinePunct w:val="0"/>
        <w:bidi w:val="0"/>
        <w:spacing w:line="560" w:lineRule="exact"/>
      </w:pPr>
      <w:bookmarkStart w:id="87" w:name="_Toc233272374"/>
      <w:r>
        <w:rPr>
          <w:rFonts w:hint="eastAsia"/>
        </w:rPr>
        <w:t>第五章  全方位扩大内需，主动服务和融入新发展格局</w:t>
      </w:r>
      <w:bookmarkEnd w:id="84"/>
      <w:bookmarkEnd w:id="85"/>
      <w:bookmarkEnd w:id="86"/>
      <w:bookmarkEnd w:id="87"/>
    </w:p>
    <w:p w14:paraId="0E8E3ED5">
      <w:pPr>
        <w:keepNext w:val="0"/>
        <w:keepLines w:val="0"/>
        <w:pageBreakBefore w:val="0"/>
        <w:wordWrap/>
        <w:topLinePunct w:val="0"/>
        <w:bidi w:val="0"/>
        <w:spacing w:line="560" w:lineRule="exact"/>
        <w:ind w:firstLine="643"/>
        <w:rPr>
          <w:b/>
          <w:bCs/>
        </w:rPr>
      </w:pPr>
    </w:p>
    <w:p w14:paraId="5EF06FCA">
      <w:pPr>
        <w:keepNext w:val="0"/>
        <w:keepLines w:val="0"/>
        <w:pageBreakBefore w:val="0"/>
        <w:wordWrap/>
        <w:topLinePunct w:val="0"/>
        <w:bidi w:val="0"/>
        <w:spacing w:line="560" w:lineRule="exact"/>
        <w:ind w:firstLine="640"/>
      </w:pPr>
      <w:r>
        <w:rPr>
          <w:rFonts w:hint="eastAsia"/>
        </w:rPr>
        <w:t>坚定落实扩大内需战略，坚持惠民生和促消费、投资于物和投资于人紧密结合，以激活消费潜力为核心、扩大有效投资为抓手，培育内需增长新动能，有效促进消费和投资、供给和需求良性互动，夯实高质量发展核心引擎。</w:t>
      </w:r>
    </w:p>
    <w:p w14:paraId="422EE032">
      <w:pPr>
        <w:pStyle w:val="4"/>
        <w:keepNext w:val="0"/>
        <w:keepLines w:val="0"/>
        <w:pageBreakBefore w:val="0"/>
        <w:wordWrap/>
        <w:topLinePunct w:val="0"/>
        <w:bidi w:val="0"/>
        <w:spacing w:line="560" w:lineRule="exact"/>
      </w:pPr>
      <w:bookmarkStart w:id="88" w:name="_Toc233272375"/>
      <w:bookmarkStart w:id="89" w:name="_Toc472131751"/>
      <w:bookmarkStart w:id="90" w:name="_Toc440883934"/>
      <w:r>
        <w:rPr>
          <w:rFonts w:hint="eastAsia"/>
        </w:rPr>
        <w:t>第一节 激活消费潜力，夯实内需增长根基</w:t>
      </w:r>
      <w:bookmarkEnd w:id="88"/>
      <w:bookmarkEnd w:id="89"/>
      <w:bookmarkEnd w:id="90"/>
    </w:p>
    <w:p w14:paraId="3388999D">
      <w:pPr>
        <w:keepNext w:val="0"/>
        <w:keepLines w:val="0"/>
        <w:pageBreakBefore w:val="0"/>
        <w:wordWrap/>
        <w:topLinePunct w:val="0"/>
        <w:bidi w:val="0"/>
        <w:spacing w:line="560" w:lineRule="exact"/>
        <w:ind w:firstLine="640"/>
      </w:pPr>
      <w:r>
        <w:rPr>
          <w:rFonts w:hint="eastAsia"/>
        </w:rPr>
        <w:t>坚持惠民生和促消费相结合，进一步提升优质供给、拓展消费场景、优化消费环境，全方位激发释放消费潜力。</w:t>
      </w:r>
    </w:p>
    <w:p w14:paraId="7796EA1F">
      <w:pPr>
        <w:keepNext w:val="0"/>
        <w:keepLines w:val="0"/>
        <w:pageBreakBefore w:val="0"/>
        <w:wordWrap/>
        <w:topLinePunct w:val="0"/>
        <w:bidi w:val="0"/>
        <w:spacing w:line="560" w:lineRule="exact"/>
        <w:ind w:firstLine="643"/>
      </w:pPr>
      <w:r>
        <w:rPr>
          <w:rFonts w:hint="eastAsia"/>
          <w:b/>
          <w:bCs/>
        </w:rPr>
        <w:t>提升消费品质</w:t>
      </w:r>
      <w:r>
        <w:rPr>
          <w:rFonts w:hint="eastAsia"/>
        </w:rPr>
        <w:t>。</w:t>
      </w:r>
      <w:r>
        <w:rPr>
          <w:b/>
          <w:bCs/>
        </w:rPr>
        <w:t>升级优质商品供给体系</w:t>
      </w:r>
      <w:r>
        <w:rPr>
          <w:rFonts w:hint="eastAsia"/>
        </w:rPr>
        <w:t>，以万德长清茶、五峰山大樱桃等地理标志产品为核心，扩大“三品一标”农产品供给，推动深加工提升附加值，开发系列休闲食品和伴手礼；落实汽车、家电等大宗消费以旧换新政策，结合节假日开展主题促销与消费券发放，激活消费潜力。</w:t>
      </w:r>
      <w:r>
        <w:rPr>
          <w:b/>
          <w:bCs/>
        </w:rPr>
        <w:t>培育多元化特色消费业态</w:t>
      </w:r>
      <w:r>
        <w:rPr>
          <w:rFonts w:hint="eastAsia"/>
          <w:b/>
          <w:bCs/>
        </w:rPr>
        <w:t>，</w:t>
      </w:r>
      <w:r>
        <w:t>依托“天穹之境”极限运动休闲文旅基地、崮云湖国际高尔夫球场等</w:t>
      </w:r>
      <w:r>
        <w:rPr>
          <w:rFonts w:hint="eastAsia"/>
        </w:rPr>
        <w:t>项目</w:t>
      </w:r>
      <w:r>
        <w:t>，积极争取国际性、国家级体育赛事落地，构建“赛事+旅游+消费”产业链条</w:t>
      </w:r>
      <w:r>
        <w:rPr>
          <w:rFonts w:hint="eastAsia"/>
        </w:rPr>
        <w:t>；</w:t>
      </w:r>
      <w:r>
        <w:t>提档升级张夏杏花节、五峰樱桃节、马山雪桃节等特色节庆IP，引入专业运营团队，融入沉浸式国风体验、文创市集、音乐派对等年轻化元素，推动“一季游”向“四季游”</w:t>
      </w:r>
      <w:r>
        <w:rPr>
          <w:rFonts w:hint="eastAsia"/>
        </w:rPr>
        <w:t>，</w:t>
      </w:r>
      <w:r>
        <w:t>“观光游”向“深度体验游”转变。</w:t>
      </w:r>
      <w:r>
        <w:rPr>
          <w:rFonts w:hint="eastAsia"/>
          <w:b/>
          <w:bCs/>
        </w:rPr>
        <w:t>培育</w:t>
      </w:r>
      <w:r>
        <w:rPr>
          <w:b/>
          <w:bCs/>
        </w:rPr>
        <w:t>壮大数字消费新兴增长点</w:t>
      </w:r>
      <w:r>
        <w:rPr>
          <w:rFonts w:hint="eastAsia"/>
          <w:b/>
          <w:bCs/>
        </w:rPr>
        <w:t>，</w:t>
      </w:r>
      <w:r>
        <w:t>鼓励高校与企业共建电竞实训基地，支持在大学城周边建设小型电竞场馆，承接各类电竞赛事，开发本土电竞IP</w:t>
      </w:r>
      <w:r>
        <w:rPr>
          <w:rFonts w:hint="eastAsia"/>
        </w:rPr>
        <w:t>；</w:t>
      </w:r>
      <w:r>
        <w:t>规划建设二次元主题商业体，推动二次元文化与文旅、餐饮、娱乐等产业深度融合，激活“谷子经济”消费潜力</w:t>
      </w:r>
      <w:r>
        <w:rPr>
          <w:rFonts w:hint="eastAsia"/>
        </w:rPr>
        <w:t>；</w:t>
      </w:r>
      <w:r>
        <w:t>培育直播电商等新业态，搭建农产品、文旅产品直播带货平台，打造线上线下融合的消费新场景。</w:t>
      </w:r>
    </w:p>
    <w:p w14:paraId="2144BA84">
      <w:pPr>
        <w:keepNext w:val="0"/>
        <w:keepLines w:val="0"/>
        <w:pageBreakBefore w:val="0"/>
        <w:wordWrap/>
        <w:topLinePunct w:val="0"/>
        <w:bidi w:val="0"/>
        <w:spacing w:line="560" w:lineRule="exact"/>
        <w:ind w:firstLine="643"/>
      </w:pPr>
      <w:r>
        <w:rPr>
          <w:rFonts w:hint="eastAsia"/>
          <w:b/>
          <w:bCs/>
        </w:rPr>
        <w:t>优化拓展消费载体空间</w:t>
      </w:r>
      <w:r>
        <w:rPr>
          <w:rFonts w:hint="eastAsia"/>
        </w:rPr>
        <w:t>。</w:t>
      </w:r>
      <w:r>
        <w:rPr>
          <w:rFonts w:hint="eastAsia"/>
          <w:b/>
          <w:bCs/>
        </w:rPr>
        <w:t>打造多元化、多层级消费空间格局，</w:t>
      </w:r>
      <w:r>
        <w:t>加快汉云谷产业园绿色金融总部、园博园未来之城、农批市场商务服务配套区等重点项目建设与招商进度，引入高端</w:t>
      </w:r>
      <w:r>
        <w:rPr>
          <w:rFonts w:hint="eastAsia"/>
        </w:rPr>
        <w:t>商业</w:t>
      </w:r>
      <w:r>
        <w:t>、品牌</w:t>
      </w:r>
      <w:r>
        <w:rPr>
          <w:rFonts w:hint="eastAsia"/>
        </w:rPr>
        <w:t>首店、</w:t>
      </w:r>
      <w:r>
        <w:t>沉浸式体验店等业态</w:t>
      </w:r>
      <w:r>
        <w:rPr>
          <w:rFonts w:hint="eastAsia"/>
        </w:rPr>
        <w:t>，提升商圈的消费吸引力和辐射带动力；推动大学城商业街区提档升级，引入动漫、电竞、国潮等元素，加快培育一批各具特色的商业街区，激发消费活力；加快一刻钟便民生活圈、街道（镇）商贸中心建设，在社区、高校周边、街道（镇）驻地等区域，整合便利店、生鲜超市、药店、家政服务等便民业态，打造“家门口”一站式消费服务体系。</w:t>
      </w:r>
      <w:r>
        <w:rPr>
          <w:rFonts w:hint="eastAsia"/>
          <w:b/>
          <w:bCs/>
        </w:rPr>
        <w:t>培育新型特色消费场景，</w:t>
      </w:r>
      <w:r>
        <w:rPr>
          <w:rFonts w:hint="eastAsia"/>
        </w:rPr>
        <w:t>推动</w:t>
      </w:r>
      <w:r>
        <w:t>庭院经济特色发展，借鉴张夏街道“如你所院”“一方小院”模式，鼓励各</w:t>
      </w:r>
      <w:r>
        <w:rPr>
          <w:rFonts w:hint="eastAsia"/>
        </w:rPr>
        <w:t>街道（镇）</w:t>
      </w:r>
      <w:r>
        <w:t>盘活农村闲置院落与房前屋后空间，打造“一院一主题”的非遗体验、书画创作、研学教育、康养度假等特色庭院； </w:t>
      </w:r>
      <w:r>
        <w:rPr>
          <w:rFonts w:hint="eastAsia"/>
        </w:rPr>
        <w:t>培育特色</w:t>
      </w:r>
      <w:r>
        <w:t>夜间经济</w:t>
      </w:r>
      <w:r>
        <w:rPr>
          <w:rFonts w:hint="eastAsia"/>
        </w:rPr>
        <w:t>集聚区，</w:t>
      </w:r>
      <w:r>
        <w:t>以园博园等景区为核心，融合文化、美食、非遗等元素，常态化举办周末集市、后备箱集市、灯光秀、民俗展演等活动，培育“夜食、夜游、夜赏、夜购”多元夜间消费业态。</w:t>
      </w:r>
    </w:p>
    <w:p w14:paraId="33BC72EE">
      <w:pPr>
        <w:keepNext w:val="0"/>
        <w:keepLines w:val="0"/>
        <w:pageBreakBefore w:val="0"/>
        <w:wordWrap/>
        <w:topLinePunct w:val="0"/>
        <w:bidi w:val="0"/>
        <w:spacing w:line="560" w:lineRule="exact"/>
        <w:ind w:firstLine="643"/>
      </w:pPr>
      <w:r>
        <w:rPr>
          <w:rFonts w:hint="eastAsia"/>
          <w:b/>
          <w:bCs/>
        </w:rPr>
        <w:t>营造良好消费环境</w:t>
      </w:r>
      <w:r>
        <w:rPr>
          <w:rFonts w:hint="eastAsia"/>
        </w:rPr>
        <w:t>。落实好各项提振消费政策措施，强化音乐节、体育赛事、旅游景点等重点场景服务保障，打造区域消费名片。健全完善高效维权服务体系，</w:t>
      </w:r>
      <w:r>
        <w:t>优化消费维权诉求处置流程，建立消费纠纷快速调解</w:t>
      </w:r>
      <w:r>
        <w:rPr>
          <w:rFonts w:hint="eastAsia"/>
        </w:rPr>
        <w:t>机制；鼓励社区、商场、景点等重点区域设立消费维权服务站，探索多元消费调解机制，全力维护消费者合法权益。</w:t>
      </w:r>
      <w:r>
        <w:t>建立健全市场</w:t>
      </w:r>
      <w:r>
        <w:rPr>
          <w:rFonts w:hint="eastAsia"/>
        </w:rPr>
        <w:t>经营</w:t>
      </w:r>
      <w:r>
        <w:t>主体信用评价体系，开展放心消费示范单位创建，</w:t>
      </w:r>
      <w:r>
        <w:rPr>
          <w:rFonts w:hint="eastAsia"/>
        </w:rPr>
        <w:t>营造诚信经营、放心消费良好氛围。</w:t>
      </w:r>
    </w:p>
    <w:p w14:paraId="5F3B7AAE">
      <w:pPr>
        <w:pStyle w:val="4"/>
        <w:keepNext w:val="0"/>
        <w:keepLines w:val="0"/>
        <w:pageBreakBefore w:val="0"/>
        <w:wordWrap/>
        <w:topLinePunct w:val="0"/>
        <w:bidi w:val="0"/>
        <w:spacing w:line="560" w:lineRule="exact"/>
      </w:pPr>
      <w:bookmarkStart w:id="91" w:name="_Toc1669468998"/>
      <w:bookmarkStart w:id="92" w:name="_Toc233272376"/>
      <w:bookmarkStart w:id="93" w:name="_Toc586816666"/>
      <w:r>
        <w:rPr>
          <w:rFonts w:hint="eastAsia"/>
        </w:rPr>
        <w:t>第二节 扩大有效投资，拓展释放内需活力</w:t>
      </w:r>
      <w:bookmarkEnd w:id="91"/>
      <w:bookmarkEnd w:id="92"/>
      <w:bookmarkEnd w:id="93"/>
    </w:p>
    <w:p w14:paraId="6CE1A490">
      <w:pPr>
        <w:pStyle w:val="15"/>
        <w:keepNext w:val="0"/>
        <w:keepLines w:val="0"/>
        <w:pageBreakBefore w:val="0"/>
        <w:wordWrap/>
        <w:topLinePunct w:val="0"/>
        <w:bidi w:val="0"/>
        <w:spacing w:line="560" w:lineRule="exact"/>
        <w:ind w:firstLine="640"/>
        <w:rPr>
          <w:rFonts w:ascii="仿宋_GB2312"/>
        </w:rPr>
      </w:pPr>
      <w:r>
        <w:rPr>
          <w:rFonts w:hint="eastAsia" w:ascii="仿宋_GB2312"/>
        </w:rPr>
        <w:t>坚持投资于物和投资于人紧密结合，聚焦重点领域，优化投资结构、激发民间投资活力、强化重点项目支撑保障，推动投资规模与质量双提升，以高质量投资牵引内需扩容升级。</w:t>
      </w:r>
    </w:p>
    <w:p w14:paraId="22535E9B">
      <w:pPr>
        <w:pStyle w:val="15"/>
        <w:keepNext w:val="0"/>
        <w:keepLines w:val="0"/>
        <w:pageBreakBefore w:val="0"/>
        <w:wordWrap/>
        <w:topLinePunct w:val="0"/>
        <w:bidi w:val="0"/>
        <w:spacing w:line="560" w:lineRule="exact"/>
        <w:ind w:firstLine="643"/>
      </w:pPr>
      <w:r>
        <w:rPr>
          <w:rFonts w:hint="eastAsia"/>
          <w:b/>
          <w:bCs/>
        </w:rPr>
        <w:t>优化投资结构。</w:t>
      </w:r>
      <w:r>
        <w:rPr>
          <w:rFonts w:hint="eastAsia"/>
        </w:rPr>
        <w:t>紧扣全区</w:t>
      </w:r>
      <w:r>
        <w:rPr>
          <w:rFonts w:hint="eastAsia" w:ascii="仿宋_GB2312"/>
        </w:rPr>
        <w:t>“3+2”</w:t>
      </w:r>
      <w:r>
        <w:rPr>
          <w:rFonts w:hint="eastAsia"/>
        </w:rPr>
        <w:t>产业体系和高质量发展要求，聚焦产业转型、消费升级、民生改善等领域，优化投资布局，以重点项目建设牵引有效投资。围绕</w:t>
      </w:r>
      <w:r>
        <w:rPr>
          <w:rFonts w:hint="eastAsia" w:ascii="仿宋_GB2312"/>
        </w:rPr>
        <w:t>“3+2”产业发展方向，强化项目谋划招引，</w:t>
      </w:r>
      <w:r>
        <w:rPr>
          <w:rFonts w:hint="eastAsia"/>
        </w:rPr>
        <w:t>重点引导社会资本和金融资金投向产业技术升级、强链补链、绿色低碳转型等关键环节，支持创新联合体建设和产学研项目落地，培育产业发展新动能。持续提高民生领域投资比重，谋划布局普惠性民生项目，引导更多资金投向教育医疗、养老托育、人力资源开发等领域，推动投资与民生需求精准匹配，以民生投资间接释放消费潜力。深化投资于人理念，加大职业技能培训、创业孵化、人才培育等领域投入，完善全生命周期人口服务体系，提升人力资本质量，拓宽居民增收渠道，提升居民消费能力，实现投资与消费良性互动。</w:t>
      </w:r>
    </w:p>
    <w:p w14:paraId="0F16A1AD">
      <w:pPr>
        <w:pStyle w:val="15"/>
        <w:keepNext w:val="0"/>
        <w:keepLines w:val="0"/>
        <w:pageBreakBefore w:val="0"/>
        <w:wordWrap/>
        <w:topLinePunct w:val="0"/>
        <w:bidi w:val="0"/>
        <w:spacing w:line="560" w:lineRule="exact"/>
        <w:ind w:firstLine="643"/>
        <w:rPr>
          <w:rFonts w:ascii="仿宋_GB2312"/>
          <w:b/>
          <w:bCs/>
        </w:rPr>
      </w:pPr>
      <w:r>
        <w:rPr>
          <w:rFonts w:hint="eastAsia" w:ascii="仿宋_GB2312"/>
          <w:b/>
          <w:bCs/>
        </w:rPr>
        <w:t>激发民间投资活力。</w:t>
      </w:r>
      <w:r>
        <w:rPr>
          <w:rFonts w:hint="eastAsia" w:ascii="仿宋_GB2312"/>
        </w:rPr>
        <w:t>强化国有企业带头引领作用，发挥国企在资源整合、要素保障、重大项目攻坚中的示范引领效应，主动担当作为、补齐发展弱项，为民营经济发展搭建平台、创造条件。坚持市场化导向，引导支持民营企业发挥机制灵活、创新高效的优势，鼓励民营企业通过特许经营、政府和社会资本合作（PPP）新机制等模式，积极参与城市更新、民生改善和新型基础设施领域等公共事业建设。健全民营企业参与重大项目建设长效机制，鼓励民间资本以多种方式参与新能源汽车、生物医药、装备制造等领域的重点项目，支持民营企业申报不动产投资信托基金（REITs），拓宽民营企业融资渠道。推动国企民企在产业链供应链上深度融合，围绕产业链上下游开展联合攻关、产能互补，共建研发平台与创新中心，培育形成“国企引领、民企赋能”的产业协同生态。聚焦“3+2”产业体系，绘制产业招商图谱，靶向招引投资体量大、技术水平高、带动能力强的民营龙头企业和配套项目，完善用地、融资、人才等全要素保障。深度嵌入省会经济圈一体化发展，精准对接京津冀、长三角等国家战略区域产业转移，搭建跨区域产业合作与市场对接平台，支持民营企业参加国内外展会、拓展省外市场，推动民间资本在区域协同中拓展发展空间、释放投资活力。</w:t>
      </w:r>
    </w:p>
    <w:p w14:paraId="5448A5BA">
      <w:pPr>
        <w:pStyle w:val="15"/>
        <w:keepNext w:val="0"/>
        <w:keepLines w:val="0"/>
        <w:pageBreakBefore w:val="0"/>
        <w:wordWrap/>
        <w:topLinePunct w:val="0"/>
        <w:bidi w:val="0"/>
        <w:spacing w:line="560" w:lineRule="exact"/>
        <w:ind w:firstLine="643"/>
        <w:rPr>
          <w:rFonts w:ascii="楷体_GB2312" w:hAnsi="楷体_GB2312" w:eastAsia="楷体_GB2312" w:cs="楷体_GB2312"/>
          <w:sz w:val="36"/>
          <w:szCs w:val="36"/>
        </w:rPr>
      </w:pPr>
      <w:r>
        <w:rPr>
          <w:rFonts w:hint="eastAsia"/>
          <w:b/>
          <w:bCs/>
        </w:rPr>
        <w:t>加强项目谋划推进。</w:t>
      </w:r>
      <w:r>
        <w:rPr>
          <w:rFonts w:hint="eastAsia"/>
        </w:rPr>
        <w:t>坚持以项目落地实施、投产达效为目标，持续完善重点项目谋划储备工作机制，提升项目推进效能，推动项目早开工、早建成、早见效，为全区投资增长、经济社会发展提供坚实支撑。健全重点项目谋划储备机制，聚焦产业发展方向，瞄准国家政策支持投向，加强项目前期论证研究，每年谋划储备一批带动性强、支撑作用明显的重大项目。完善项目全生命周期推进服务体系，加强重大项目推介招引，强化土地、资金等要素保障，建立项目动态监测机制，加强跟踪服务，及时解决项目推进中存在的困难问题，确保项目精准落地、高效推进、快速达产，为全区扩大有效投资提供坚实保障。</w:t>
      </w:r>
    </w:p>
    <w:p w14:paraId="7F91BCCD">
      <w:pPr>
        <w:keepNext w:val="0"/>
        <w:keepLines w:val="0"/>
        <w:pageBreakBefore w:val="0"/>
        <w:numPr>
          <w:ilvl w:val="255"/>
          <w:numId w:val="0"/>
        </w:numPr>
        <w:wordWrap/>
        <w:overflowPunct w:val="0"/>
        <w:topLinePunct w:val="0"/>
        <w:bidi w:val="0"/>
        <w:spacing w:line="560" w:lineRule="exact"/>
        <w:rPr>
          <w:rFonts w:ascii="楷体_GB2312" w:hAnsi="楷体_GB2312" w:eastAsia="楷体_GB2312" w:cs="楷体_GB2312"/>
          <w:sz w:val="36"/>
          <w:szCs w:val="36"/>
        </w:rPr>
      </w:pPr>
    </w:p>
    <w:p w14:paraId="746DE0F4">
      <w:pPr>
        <w:keepNext w:val="0"/>
        <w:keepLines w:val="0"/>
        <w:pageBreakBefore w:val="0"/>
        <w:wordWrap/>
        <w:topLinePunct w:val="0"/>
        <w:bidi w:val="0"/>
        <w:spacing w:line="560" w:lineRule="exact"/>
        <w:ind w:firstLine="720"/>
        <w:rPr>
          <w:rFonts w:ascii="楷体_GB2312" w:hAnsi="楷体_GB2312" w:eastAsia="楷体_GB2312" w:cs="楷体_GB2312"/>
          <w:sz w:val="36"/>
          <w:szCs w:val="36"/>
        </w:rPr>
      </w:pPr>
      <w:r>
        <w:rPr>
          <w:rFonts w:hint="eastAsia" w:ascii="楷体_GB2312" w:hAnsi="楷体_GB2312" w:eastAsia="楷体_GB2312" w:cs="楷体_GB2312"/>
          <w:sz w:val="36"/>
          <w:szCs w:val="36"/>
        </w:rPr>
        <w:br w:type="page"/>
      </w:r>
    </w:p>
    <w:p w14:paraId="4C234D15">
      <w:pPr>
        <w:pStyle w:val="2"/>
        <w:keepNext w:val="0"/>
        <w:keepLines w:val="0"/>
        <w:pageBreakBefore w:val="0"/>
        <w:wordWrap/>
        <w:topLinePunct w:val="0"/>
        <w:bidi w:val="0"/>
        <w:spacing w:line="560" w:lineRule="exact"/>
      </w:pPr>
      <w:bookmarkStart w:id="94" w:name="_Toc1442624431"/>
      <w:bookmarkStart w:id="95" w:name="_Toc1263541547"/>
      <w:bookmarkStart w:id="96" w:name="_Toc1241066092"/>
    </w:p>
    <w:p w14:paraId="599C2FD7">
      <w:pPr>
        <w:pStyle w:val="2"/>
        <w:keepNext w:val="0"/>
        <w:keepLines w:val="0"/>
        <w:pageBreakBefore w:val="0"/>
        <w:wordWrap/>
        <w:topLinePunct w:val="0"/>
        <w:bidi w:val="0"/>
        <w:spacing w:line="560" w:lineRule="exact"/>
      </w:pPr>
      <w:bookmarkStart w:id="97" w:name="_Toc233272377"/>
      <w:r>
        <w:rPr>
          <w:rFonts w:hint="eastAsia"/>
        </w:rPr>
        <w:t>建设篇</w:t>
      </w:r>
      <w:bookmarkEnd w:id="94"/>
      <w:bookmarkEnd w:id="95"/>
      <w:bookmarkEnd w:id="96"/>
      <w:bookmarkEnd w:id="97"/>
    </w:p>
    <w:p w14:paraId="35081231">
      <w:pPr>
        <w:pStyle w:val="3"/>
        <w:keepNext w:val="0"/>
        <w:keepLines w:val="0"/>
        <w:pageBreakBefore w:val="0"/>
        <w:wordWrap/>
        <w:topLinePunct w:val="0"/>
        <w:bidi w:val="0"/>
        <w:spacing w:line="560" w:lineRule="exact"/>
      </w:pPr>
      <w:bookmarkStart w:id="98" w:name="_Toc473938818"/>
      <w:bookmarkStart w:id="99" w:name="_Toc233272378"/>
      <w:bookmarkStart w:id="100" w:name="_Toc240216875"/>
      <w:bookmarkStart w:id="101" w:name="_Toc596001390"/>
      <w:r>
        <w:rPr>
          <w:rFonts w:hint="eastAsia"/>
        </w:rPr>
        <w:t>第六章  提升城市发展能级，推动区域协调发展</w:t>
      </w:r>
      <w:bookmarkEnd w:id="98"/>
      <w:bookmarkEnd w:id="99"/>
      <w:bookmarkEnd w:id="100"/>
      <w:bookmarkEnd w:id="101"/>
    </w:p>
    <w:p w14:paraId="5261B2FA">
      <w:pPr>
        <w:pStyle w:val="15"/>
        <w:keepNext w:val="0"/>
        <w:keepLines w:val="0"/>
        <w:pageBreakBefore w:val="0"/>
        <w:wordWrap/>
        <w:topLinePunct w:val="0"/>
        <w:bidi w:val="0"/>
        <w:spacing w:line="560" w:lineRule="exact"/>
        <w:ind w:firstLine="640"/>
      </w:pPr>
    </w:p>
    <w:p w14:paraId="65D1C238">
      <w:pPr>
        <w:keepNext w:val="0"/>
        <w:keepLines w:val="0"/>
        <w:pageBreakBefore w:val="0"/>
        <w:wordWrap/>
        <w:topLinePunct w:val="0"/>
        <w:bidi w:val="0"/>
        <w:spacing w:line="560" w:lineRule="exact"/>
        <w:ind w:firstLine="640"/>
        <w:jc w:val="left"/>
        <w:rPr>
          <w:szCs w:val="22"/>
        </w:rPr>
      </w:pPr>
      <w:bookmarkStart w:id="102" w:name="_Toc694510909"/>
      <w:bookmarkStart w:id="103" w:name="_Toc188964836"/>
      <w:bookmarkStart w:id="104" w:name="_Toc1236750605"/>
      <w:r>
        <w:rPr>
          <w:rFonts w:hint="eastAsia"/>
        </w:rPr>
        <w:t>深入落实融入黄河重大国家战略、济南都市圈一体化发展等区域发展战略，坚持城市内涵式发展，持续提升城区综合能级，推动小城镇特色发展，加快片区差异化发展，增强跨区域协调联动，着力打造“特色鲜明、重点突破、功能互补、片区联动、区域协同”的高质量发展格局。</w:t>
      </w:r>
    </w:p>
    <w:p w14:paraId="3FF22E0E">
      <w:pPr>
        <w:pStyle w:val="4"/>
        <w:keepNext w:val="0"/>
        <w:keepLines w:val="0"/>
        <w:pageBreakBefore w:val="0"/>
        <w:wordWrap/>
        <w:topLinePunct w:val="0"/>
        <w:bidi w:val="0"/>
        <w:spacing w:line="560" w:lineRule="exact"/>
      </w:pPr>
      <w:bookmarkStart w:id="105" w:name="_Toc972351491"/>
      <w:bookmarkStart w:id="106" w:name="_Toc233272379"/>
      <w:bookmarkStart w:id="107" w:name="_Toc1199254708"/>
      <w:r>
        <w:rPr>
          <w:rFonts w:hint="eastAsia"/>
        </w:rPr>
        <w:t>第一节  提升城区综合能级</w:t>
      </w:r>
      <w:bookmarkEnd w:id="105"/>
      <w:bookmarkEnd w:id="106"/>
      <w:bookmarkEnd w:id="107"/>
    </w:p>
    <w:p w14:paraId="06C8E8A9">
      <w:pPr>
        <w:keepNext w:val="0"/>
        <w:keepLines w:val="0"/>
        <w:pageBreakBefore w:val="0"/>
        <w:wordWrap/>
        <w:topLinePunct w:val="0"/>
        <w:bidi w:val="0"/>
        <w:spacing w:line="560" w:lineRule="exact"/>
        <w:ind w:firstLine="640"/>
        <w:rPr>
          <w:szCs w:val="22"/>
        </w:rPr>
      </w:pPr>
      <w:r>
        <w:rPr>
          <w:rFonts w:hint="eastAsia"/>
          <w:szCs w:val="22"/>
        </w:rPr>
        <w:t>聚焦城市功能完善、产业能级跃升、区域协同融合三大方向，做强做优城区核心功能，推动各片区协同联动发展，加快形成优势互补、高质量发展的城市空间和功能布局。</w:t>
      </w:r>
    </w:p>
    <w:p w14:paraId="41C3A0A6">
      <w:pPr>
        <w:keepNext w:val="0"/>
        <w:keepLines w:val="0"/>
        <w:pageBreakBefore w:val="0"/>
        <w:wordWrap/>
        <w:topLinePunct w:val="0"/>
        <w:bidi w:val="0"/>
        <w:spacing w:line="560" w:lineRule="exact"/>
        <w:ind w:firstLine="643"/>
      </w:pPr>
      <w:r>
        <w:rPr>
          <w:rFonts w:hint="eastAsia"/>
          <w:b/>
          <w:bCs/>
        </w:rPr>
        <w:t>优化提升城区核心功能</w:t>
      </w:r>
      <w:r>
        <w:rPr>
          <w:rFonts w:hint="eastAsia"/>
        </w:rPr>
        <w:t>。立足“内涵提升、区域辐射、外延融合”核心目标，以文昌街道、平安街道、崮云湖街道为核心，着力提高综合承载功能、辐射带动能力，推动区域经济效益整体提升，增强高质量发展动力源作用。加快片区开发提升，高质量推进城市更新，高标准建设配套设施，提升城市承载功能，推动人口集中、产业集聚、产城融合发展；注重产业导入，重点围绕“3+2”产业，完善功能配套，健全产业生态，提升产业能级，推动产业集群化、高端化发展，夯实经济高质量发展主阵地基础。完善与市中区、槐荫区的路网联通，协同产业发展，深化校产城融合，促进人才、技术、资本等要素自由流动，全方位、多层次加速融入省会中心城区发展格局，让城区成为辐射带动全区、联动周边区域发展的核心引擎。</w:t>
      </w:r>
    </w:p>
    <w:p w14:paraId="06113248">
      <w:pPr>
        <w:pStyle w:val="15"/>
        <w:keepNext w:val="0"/>
        <w:keepLines w:val="0"/>
        <w:pageBreakBefore w:val="0"/>
        <w:wordWrap/>
        <w:topLinePunct w:val="0"/>
        <w:bidi w:val="0"/>
        <w:spacing w:line="560" w:lineRule="exact"/>
        <w:ind w:firstLine="643"/>
      </w:pPr>
      <w:r>
        <w:rPr>
          <w:rFonts w:hint="eastAsia"/>
          <w:b/>
          <w:bCs/>
        </w:rPr>
        <w:t>加快“四大片区”建设发展</w:t>
      </w:r>
      <w:r>
        <w:rPr>
          <w:rFonts w:hint="eastAsia"/>
        </w:rPr>
        <w:t>。立足片区资源禀赋和功能定位，优化要素配置、统筹产城融合、完善设施配套，推动“四大片区”开发建设，提升中心城区辐射带动能力。</w:t>
      </w:r>
      <w:r>
        <w:rPr>
          <w:rFonts w:hint="eastAsia"/>
          <w:b/>
          <w:bCs/>
        </w:rPr>
        <w:t>高铁片区，打造产城融合活力片区。</w:t>
      </w:r>
      <w:r>
        <w:rPr>
          <w:rFonts w:hint="eastAsia"/>
        </w:rPr>
        <w:t>依托济郑高铁长清站交通优势，聚焦“商贸物流+创新创业驱动+消费升级”核心方向，重点发展智慧商贸物流、现代金融、商务服务、创新创业等业态，联动大学城资源搭建创新创业平台，构建“高铁+科创+产业”联动格局；完善公共服务设施配套，优化居住环境，推动人口集聚与功能提升；完善高铁与城区路网、公共交通的无缝衔接，畅通与省会中心城区及大学城的通勤通道，构建“半小时通勤圈”，激活经济潜力，推动建设成为交通便捷、产业兴旺、功能完善、宜居宜业的产城融合区。</w:t>
      </w:r>
      <w:r>
        <w:rPr>
          <w:rFonts w:hint="eastAsia"/>
          <w:b/>
          <w:bCs/>
        </w:rPr>
        <w:t>农批市场片区，打造江北农产品物流集散地</w:t>
      </w:r>
      <w:r>
        <w:rPr>
          <w:rFonts w:hint="eastAsia"/>
        </w:rPr>
        <w:t>。优化市场空间布局，加快核心项目建设与业态升级，延伸农产品种植、加工、冷链物流、展示交易、电商服务等上下游产业链，构建“产地—市场—餐桌”全链条供应保障体系；推进市场数字化转型，搭建智慧交易平台，建立全流程农产品质量追溯系统，强化食品安全监管；完善周边路网、居住、商业等配套设施，培育形成</w:t>
      </w:r>
      <w:r>
        <w:rPr>
          <w:rFonts w:hint="eastAsia" w:ascii="仿宋_GB2312"/>
        </w:rPr>
        <w:t>10</w:t>
      </w:r>
      <w:r>
        <w:rPr>
          <w:rFonts w:hint="eastAsia"/>
        </w:rPr>
        <w:t>万人规模集聚区，建设辐射鲁西、联动全省的现代化江北农产品物流集散地，赋能城乡融合与三产协同发展。</w:t>
      </w:r>
      <w:r>
        <w:rPr>
          <w:rFonts w:hint="eastAsia"/>
          <w:b/>
          <w:bCs/>
        </w:rPr>
        <w:t>中川湾片区，建设长清未来发展新地标</w:t>
      </w:r>
      <w:r>
        <w:rPr>
          <w:rFonts w:hint="eastAsia"/>
        </w:rPr>
        <w:t>。立足片区山水生态禀赋，聚焦高端人才集聚与高品质生活需求，统筹推进生态与城市建设，依托周边水系打造滨水公园、绿道网络，构建蓝绿交织的生态空间；高标准配套优质学校、社区医院、便民商业等公共服务设施，构</w:t>
      </w:r>
      <w:r>
        <w:rPr>
          <w:rFonts w:hint="eastAsia" w:ascii="仿宋_GB2312"/>
        </w:rPr>
        <w:t>建15分</w:t>
      </w:r>
      <w:r>
        <w:rPr>
          <w:rFonts w:hint="eastAsia"/>
        </w:rPr>
        <w:t>钟便捷生活圈；加快建设第四代高端住宅项目，谋划推进人才公寓、青年社区，引入高端物业品牌并探索推动“信义+酬金”模式，打造宜居社区治理样板；强化产业导入，深化与大学城科创、人才资源联动，重点发展科创服务、数字经济、网络视听、现代金融等业态，布局高端商业街区、商务办公、文体休闲等功能载体，促进人口与产业加速集聚，打造高端人才集聚、产业生态完善、公共服务优质的长清城市未来发展新地标。</w:t>
      </w:r>
      <w:r>
        <w:rPr>
          <w:rFonts w:hint="eastAsia"/>
          <w:b/>
          <w:bCs/>
        </w:rPr>
        <w:t>大学园片区，打造科教产融合创新高地</w:t>
      </w:r>
      <w:r>
        <w:rPr>
          <w:rFonts w:hint="eastAsia"/>
        </w:rPr>
        <w:t>。依托大学城高校科研资源与人才优势，深化“政产学研用”协同，构建“高校研发-平台孵化-长清转化”全链条创新体系；聚焦生物医药、高端数控机床与机器人等产业，加快生物医药产业园等产业集聚区建设，谋划推进科创平台、成果转化基地布局；支持校企联合开展关键核心技术攻关，推动科研成果就地转化，打造产业策源地。深挖园博园、长清湖等生态文化资源，加快商业综合体、高端酒店等配套设施建设，培育发展文旅康养、休闲度假、夜间经济等业态；完善公共服务设施，优化人居环境，提升片区综合承载能力，实现产业集聚与人口集聚双向赋能，着力打造以创新为魂、产业为基、校产城融合的科教产融合创新示范高地。</w:t>
      </w:r>
    </w:p>
    <w:p w14:paraId="45B72E19">
      <w:pPr>
        <w:pStyle w:val="4"/>
        <w:keepNext w:val="0"/>
        <w:keepLines w:val="0"/>
        <w:pageBreakBefore w:val="0"/>
        <w:wordWrap/>
        <w:topLinePunct w:val="0"/>
        <w:bidi w:val="0"/>
        <w:spacing w:line="560" w:lineRule="exact"/>
      </w:pPr>
      <w:bookmarkStart w:id="108" w:name="_Toc1163859542"/>
      <w:bookmarkStart w:id="109" w:name="_Toc47770246"/>
      <w:bookmarkStart w:id="110" w:name="_Toc233272380"/>
      <w:r>
        <w:rPr>
          <w:rFonts w:hint="eastAsia"/>
        </w:rPr>
        <w:t>第二节 深入推进新型城镇化建设</w:t>
      </w:r>
      <w:bookmarkEnd w:id="108"/>
      <w:bookmarkEnd w:id="109"/>
      <w:bookmarkEnd w:id="110"/>
    </w:p>
    <w:p w14:paraId="4FF493DC">
      <w:pPr>
        <w:keepNext w:val="0"/>
        <w:keepLines w:val="0"/>
        <w:pageBreakBefore w:val="0"/>
        <w:wordWrap/>
        <w:topLinePunct w:val="0"/>
        <w:bidi w:val="0"/>
        <w:spacing w:line="560" w:lineRule="exact"/>
        <w:ind w:firstLine="640"/>
      </w:pPr>
      <w:r>
        <w:rPr>
          <w:rFonts w:hint="eastAsia"/>
        </w:rPr>
        <w:t>聚焦新型城镇化水平提升，以“以人为本、内涵提升”为导向，加快小城镇因地制宜发展，增强城镇承载功能，促进要素流动，推动城乡融合和区域协调发展。</w:t>
      </w:r>
    </w:p>
    <w:p w14:paraId="042FB2E1">
      <w:pPr>
        <w:pStyle w:val="15"/>
        <w:keepNext w:val="0"/>
        <w:keepLines w:val="0"/>
        <w:pageBreakBefore w:val="0"/>
        <w:wordWrap/>
        <w:topLinePunct w:val="0"/>
        <w:bidi w:val="0"/>
        <w:spacing w:line="560" w:lineRule="exact"/>
        <w:ind w:firstLine="643"/>
      </w:pPr>
      <w:r>
        <w:rPr>
          <w:rFonts w:hint="eastAsia"/>
          <w:b/>
          <w:bCs/>
        </w:rPr>
        <w:t>推动小城镇因地制宜发展</w:t>
      </w:r>
      <w:r>
        <w:rPr>
          <w:rFonts w:hint="eastAsia"/>
        </w:rPr>
        <w:t>。立足资源禀赋和功能定位，注重产业支撑和公共服务设施提升，不断增强城镇集聚承载功能，打造生态宜居、特色鲜明、城乡协调的多元化小城镇。</w:t>
      </w:r>
      <w:r>
        <w:rPr>
          <w:rFonts w:hint="eastAsia"/>
          <w:b/>
          <w:bCs/>
        </w:rPr>
        <w:t>五峰山街道</w:t>
      </w:r>
      <w:r>
        <w:rPr>
          <w:rFonts w:hint="eastAsia"/>
        </w:rPr>
        <w:t>依托五峰山、钓鱼台水库等山水文化资源，以及大樱桃等特色农产品种植基础，重点发展医疗康养、休闲度假、特色种植等业态，打造休闲康养特色小城镇。</w:t>
      </w:r>
      <w:r>
        <w:rPr>
          <w:rFonts w:hint="eastAsia"/>
          <w:b/>
          <w:bCs/>
        </w:rPr>
        <w:t>归德街道</w:t>
      </w:r>
      <w:r>
        <w:rPr>
          <w:rFonts w:hint="eastAsia"/>
        </w:rPr>
        <w:t>依托滨临黄河、文物众多、耕地充足等资源，聚焦产业、生态、文旅等多维度，突出现代高效农业，提升智慧化水平，完善基础设施配套，提质增效产业链条，加快建筑产业化特色小镇健康发展，推动一二三产融合，打造产业集聚、生态宜居、农旅融合的综合型小城镇。</w:t>
      </w:r>
      <w:r>
        <w:rPr>
          <w:rFonts w:hint="eastAsia"/>
          <w:b/>
          <w:bCs/>
        </w:rPr>
        <w:t>张夏街道</w:t>
      </w:r>
      <w:r>
        <w:rPr>
          <w:rFonts w:hint="eastAsia"/>
        </w:rPr>
        <w:t>发挥莲台山、义净寺、御道文化及木鱼石、张夏御杏等资源优势，重点发展文旅康养、生态农业等产业，打造集休闲旅游、住宿康养、研学拓展于一体的新乡村生活小城镇。</w:t>
      </w:r>
      <w:r>
        <w:rPr>
          <w:rFonts w:hint="eastAsia"/>
          <w:b/>
          <w:bCs/>
        </w:rPr>
        <w:t>万德街道</w:t>
      </w:r>
      <w:r>
        <w:rPr>
          <w:rFonts w:hint="eastAsia"/>
        </w:rPr>
        <w:t>依托毗邻泰山、坐拥灵岩寺、交通便捷等优势，大力发展文旅康养、特色农业等产业，打造文旅深度融合、休闲康养互促、产业绿色多元的特色小城镇。</w:t>
      </w:r>
      <w:r>
        <w:rPr>
          <w:rFonts w:hint="eastAsia"/>
          <w:b/>
          <w:bCs/>
        </w:rPr>
        <w:t>孝里街道</w:t>
      </w:r>
      <w:r>
        <w:rPr>
          <w:rFonts w:hint="eastAsia"/>
        </w:rPr>
        <w:t>依托大峰山、孝堂山、方峪古村等历史文化资源，以及“十八里谷道”特色农业品牌，发挥集中连片耕地和区位交通优势，重点发展文化旅游、现代高效农业、商贸物流等产业，打造以孝文化、长城文化、红色文化为核心魅力的农文旅融合特色小城镇。</w:t>
      </w:r>
      <w:r>
        <w:rPr>
          <w:rFonts w:hint="eastAsia"/>
          <w:b/>
          <w:bCs/>
        </w:rPr>
        <w:t>马山镇</w:t>
      </w:r>
      <w:r>
        <w:rPr>
          <w:rFonts w:hint="eastAsia"/>
        </w:rPr>
        <w:t>依托道地药材、优质锦鲤、马山百里田园度假区、环境科技园等基础优势，大力发展文旅康养、中医药种植、绿色循环等产业，打造休闲康养型、特色文旅型、绿色循环产业型、生态宜居型的特色小城镇。</w:t>
      </w:r>
      <w:r>
        <w:rPr>
          <w:rFonts w:hint="eastAsia"/>
          <w:b/>
          <w:bCs/>
        </w:rPr>
        <w:t>双泉镇</w:t>
      </w:r>
      <w:r>
        <w:rPr>
          <w:rFonts w:hint="eastAsia"/>
        </w:rPr>
        <w:t>依托山、泉、林生态资源优势，以现代农业、文体康旅为主导，重点发展中医药养生、特色种植、休闲观光、康养度假等业态，打造现代农业、文体康养特色小城镇。</w:t>
      </w:r>
    </w:p>
    <w:p w14:paraId="05C3ABC4">
      <w:pPr>
        <w:keepNext w:val="0"/>
        <w:keepLines w:val="0"/>
        <w:pageBreakBefore w:val="0"/>
        <w:wordWrap/>
        <w:topLinePunct w:val="0"/>
        <w:bidi w:val="0"/>
        <w:spacing w:line="560" w:lineRule="exact"/>
        <w:ind w:firstLine="643"/>
      </w:pPr>
      <w:r>
        <w:rPr>
          <w:rFonts w:hint="eastAsia"/>
          <w:b/>
          <w:bCs/>
        </w:rPr>
        <w:t>促进要素流动、城乡融合发展</w:t>
      </w:r>
      <w:r>
        <w:rPr>
          <w:rFonts w:hint="eastAsia"/>
        </w:rPr>
        <w:t>。科学有序推进农业转移人口市民化，进一步健全完善基本公共服务制度，推动农业转移人口就地就近全面融入城市，保护进城落户农民合法权益。深化农村土地“三权分置”改革，依法维护进城落户农民的土地承包权、宅基地使用权、集体收益分配权。完善农村土地流转市场，引进培育新型经营主体，促进土地资源规模化、集约化利用。推动优质资源下沉，鼓励科技人员下乡、大学生回乡创业，引导金融服务、社会资本参与乡村振兴、小城镇化提升。发挥大学城、农高区、经开区等核心区的科技、研发、产业优势，辐射带动周边城镇发展产业配套、成果转化，构建形成“创新链-产业链-供应链”区域联动，畅通城乡要素流通，促进城乡融合发展。</w:t>
      </w:r>
    </w:p>
    <w:p w14:paraId="0F6B197A">
      <w:pPr>
        <w:pStyle w:val="4"/>
        <w:keepNext w:val="0"/>
        <w:keepLines w:val="0"/>
        <w:pageBreakBefore w:val="0"/>
        <w:wordWrap/>
        <w:topLinePunct w:val="0"/>
        <w:bidi w:val="0"/>
        <w:spacing w:line="560" w:lineRule="exact"/>
      </w:pPr>
      <w:bookmarkStart w:id="111" w:name="_Toc1247939857"/>
      <w:bookmarkStart w:id="112" w:name="_Toc2014624740"/>
      <w:bookmarkStart w:id="113" w:name="_Toc233272381"/>
      <w:r>
        <w:t>第</w:t>
      </w:r>
      <w:r>
        <w:rPr>
          <w:rFonts w:hint="eastAsia"/>
        </w:rPr>
        <w:t>三</w:t>
      </w:r>
      <w:r>
        <w:t>节</w:t>
      </w:r>
      <w:r>
        <w:rPr>
          <w:rFonts w:hint="eastAsia"/>
        </w:rPr>
        <w:t xml:space="preserve"> 推动跨区域联动发展</w:t>
      </w:r>
      <w:bookmarkEnd w:id="111"/>
      <w:bookmarkEnd w:id="112"/>
      <w:bookmarkEnd w:id="113"/>
    </w:p>
    <w:p w14:paraId="5D9C2F20">
      <w:pPr>
        <w:keepNext w:val="0"/>
        <w:keepLines w:val="0"/>
        <w:pageBreakBefore w:val="0"/>
        <w:wordWrap/>
        <w:topLinePunct w:val="0"/>
        <w:bidi w:val="0"/>
        <w:spacing w:line="560" w:lineRule="exact"/>
        <w:ind w:firstLine="640"/>
      </w:pPr>
      <w:r>
        <w:rPr>
          <w:rFonts w:hint="eastAsia"/>
        </w:rPr>
        <w:t>锚定建设“</w:t>
      </w:r>
      <w:r>
        <w:t>生态文明建设示范区、文旅融合高地、产学研融合发展基地</w:t>
      </w:r>
      <w:r>
        <w:rPr>
          <w:rFonts w:hint="eastAsia"/>
        </w:rPr>
        <w:t>”核心功能定位，主动融入黄河重大国家战略、济南都市圈、济泰一体化等区域发展战略，全面融入省会中心城区、联动周边区域实现高质量发展。</w:t>
      </w:r>
    </w:p>
    <w:p w14:paraId="2BF84C34">
      <w:pPr>
        <w:keepNext w:val="0"/>
        <w:keepLines w:val="0"/>
        <w:pageBreakBefore w:val="0"/>
        <w:wordWrap/>
        <w:topLinePunct w:val="0"/>
        <w:bidi w:val="0"/>
        <w:spacing w:line="560" w:lineRule="exact"/>
        <w:ind w:firstLine="643"/>
      </w:pPr>
      <w:r>
        <w:rPr>
          <w:rFonts w:hint="eastAsia"/>
          <w:b/>
          <w:bCs/>
        </w:rPr>
        <w:t>加速融入省会中心城区</w:t>
      </w:r>
      <w:r>
        <w:rPr>
          <w:rFonts w:hint="eastAsia"/>
        </w:rPr>
        <w:t>。提升交通互联互通水平，优化经十西路、国道104通行效能，构建与省会中心城区30分钟通勤圈。深化“长清-市中-槐荫”毗邻片区发展，积极谋划周边村庄城市更新、功能提升，合力谋划共建玉符河沿岸生态休闲带，协同产业布局和基础设施建设，推动形成产业链互补、资源共享等跨区域产业集群，打造济南西部科教产融合创新高地。</w:t>
      </w:r>
    </w:p>
    <w:p w14:paraId="59288859">
      <w:pPr>
        <w:keepNext w:val="0"/>
        <w:keepLines w:val="0"/>
        <w:pageBreakBefore w:val="0"/>
        <w:wordWrap/>
        <w:topLinePunct w:val="0"/>
        <w:bidi w:val="0"/>
        <w:spacing w:line="560" w:lineRule="exact"/>
        <w:ind w:firstLine="643"/>
      </w:pPr>
      <w:r>
        <w:rPr>
          <w:rFonts w:hint="eastAsia"/>
          <w:b/>
          <w:bCs/>
        </w:rPr>
        <w:t>联动周边区域发展</w:t>
      </w:r>
      <w:r>
        <w:rPr>
          <w:rFonts w:hint="eastAsia"/>
        </w:rPr>
        <w:t>。加密与齐河、平阴、泰安的交通联络通道；借力泰山旅游资源，完善提升我区旅游基础设施，推进实现景区门票互通、旅游线路互推、文化资源共享；发挥大学城科创资源优势，定期举办产业供需对接会，推动“研发溢出”效应向周边区县延伸。</w:t>
      </w:r>
    </w:p>
    <w:p w14:paraId="588D58C9">
      <w:pPr>
        <w:keepNext w:val="0"/>
        <w:keepLines w:val="0"/>
        <w:pageBreakBefore w:val="0"/>
        <w:wordWrap/>
        <w:topLinePunct w:val="0"/>
        <w:bidi w:val="0"/>
        <w:spacing w:line="560" w:lineRule="exact"/>
        <w:ind w:firstLine="643"/>
      </w:pPr>
      <w:r>
        <w:rPr>
          <w:rFonts w:hint="eastAsia"/>
          <w:b/>
          <w:bCs/>
        </w:rPr>
        <w:t>推动更大范围区域协作</w:t>
      </w:r>
      <w:r>
        <w:rPr>
          <w:rFonts w:hint="eastAsia"/>
        </w:rPr>
        <w:t>。主动融入黄河流域生态保护和高质量发展战略，统筹推进黄河沿岸生态修复与产业绿色升级，打造黄河生态风貌带、文化风情带、经济发展带。传承弘扬黄河文化，挖掘黄河文化内涵，重点保护黄河古渡口、孝里古镇、红色文化遗址等文化遗产，鼓励开展非遗展演、民俗展示等活动。加强与沿黄城市交流合作，共建生态保护联防联控机制，推动在装备制造、现代农业、物流贸易等领域开展合作交流；发挥大学城国际交流优势，吸引沿黄城市高校、企业在长清设立研发中心或分支机构。</w:t>
      </w:r>
      <w:r>
        <w:rPr>
          <w:rFonts w:hint="eastAsia"/>
        </w:rPr>
        <w:br w:type="page"/>
      </w:r>
    </w:p>
    <w:p w14:paraId="33CDD125">
      <w:pPr>
        <w:pStyle w:val="3"/>
        <w:keepNext w:val="0"/>
        <w:keepLines w:val="0"/>
        <w:pageBreakBefore w:val="0"/>
        <w:wordWrap/>
        <w:topLinePunct w:val="0"/>
        <w:bidi w:val="0"/>
        <w:spacing w:line="560" w:lineRule="exact"/>
        <w:rPr>
          <w:rFonts w:hint="eastAsia"/>
        </w:rPr>
      </w:pPr>
      <w:bookmarkStart w:id="114" w:name="_Toc1570496688"/>
      <w:bookmarkStart w:id="115" w:name="_Toc593573388"/>
      <w:bookmarkStart w:id="116" w:name="_Toc1107102340"/>
    </w:p>
    <w:p w14:paraId="377C36C5">
      <w:pPr>
        <w:pStyle w:val="3"/>
        <w:keepNext w:val="0"/>
        <w:keepLines w:val="0"/>
        <w:pageBreakBefore w:val="0"/>
        <w:wordWrap/>
        <w:topLinePunct w:val="0"/>
        <w:bidi w:val="0"/>
        <w:spacing w:line="560" w:lineRule="exact"/>
      </w:pPr>
      <w:bookmarkStart w:id="117" w:name="_Toc233272382"/>
      <w:r>
        <w:rPr>
          <w:rFonts w:hint="eastAsia"/>
        </w:rPr>
        <w:t>第七章  持续完善基础设施建设，筑牢高质量发展坚实支撑</w:t>
      </w:r>
      <w:bookmarkEnd w:id="114"/>
      <w:bookmarkEnd w:id="115"/>
      <w:bookmarkEnd w:id="116"/>
      <w:bookmarkEnd w:id="117"/>
    </w:p>
    <w:p w14:paraId="2913B659">
      <w:pPr>
        <w:pStyle w:val="15"/>
        <w:keepNext w:val="0"/>
        <w:keepLines w:val="0"/>
        <w:pageBreakBefore w:val="0"/>
        <w:wordWrap/>
        <w:topLinePunct w:val="0"/>
        <w:bidi w:val="0"/>
        <w:spacing w:line="560" w:lineRule="exact"/>
        <w:ind w:firstLine="640"/>
      </w:pPr>
    </w:p>
    <w:p w14:paraId="5FBA3D4A">
      <w:pPr>
        <w:keepNext w:val="0"/>
        <w:keepLines w:val="0"/>
        <w:pageBreakBefore w:val="0"/>
        <w:wordWrap/>
        <w:topLinePunct w:val="0"/>
        <w:bidi w:val="0"/>
        <w:spacing w:line="560" w:lineRule="exact"/>
        <w:ind w:firstLine="640"/>
      </w:pPr>
      <w:r>
        <w:t>持续推进交通、能源、水利等领域基础设施建设，加快构建系统完备、高效实用、智能绿色、安全可靠的现代化基础设施体系，为加速融入省会中心城区、赋能区域协调发展筑牢坚实支撑。</w:t>
      </w:r>
    </w:p>
    <w:p w14:paraId="1DEE6139">
      <w:pPr>
        <w:pStyle w:val="4"/>
        <w:keepNext w:val="0"/>
        <w:keepLines w:val="0"/>
        <w:pageBreakBefore w:val="0"/>
        <w:wordWrap/>
        <w:topLinePunct w:val="0"/>
        <w:bidi w:val="0"/>
        <w:spacing w:line="560" w:lineRule="exact"/>
      </w:pPr>
      <w:bookmarkStart w:id="118" w:name="_Toc41421292"/>
      <w:bookmarkStart w:id="119" w:name="_Toc583758814"/>
      <w:bookmarkStart w:id="120" w:name="_Toc233272383"/>
      <w:r>
        <w:t>第一节</w:t>
      </w:r>
      <w:r>
        <w:rPr>
          <w:rFonts w:hint="eastAsia"/>
        </w:rPr>
        <w:t xml:space="preserve"> </w:t>
      </w:r>
      <w:r>
        <w:t>构建现代化综合交通体系</w:t>
      </w:r>
      <w:bookmarkEnd w:id="118"/>
      <w:bookmarkEnd w:id="119"/>
      <w:bookmarkEnd w:id="120"/>
    </w:p>
    <w:p w14:paraId="235FBD69">
      <w:pPr>
        <w:keepNext w:val="0"/>
        <w:keepLines w:val="0"/>
        <w:pageBreakBefore w:val="0"/>
        <w:wordWrap/>
        <w:topLinePunct w:val="0"/>
        <w:bidi w:val="0"/>
        <w:spacing w:line="560" w:lineRule="exact"/>
        <w:ind w:firstLine="640"/>
      </w:pPr>
      <w:r>
        <w:rPr>
          <w:rFonts w:hint="eastAsia"/>
        </w:rPr>
        <w:t>充分发挥交通在连接城乡、畅通循环的关键支撑作用，以“内畅外联、互联互通”为目标，以补齐交通短板、优化路网结构、提升通达能级为重点，着力构建“对外快速联通、对内高效畅通、多式联运协同”的现代化综合交通体系。</w:t>
      </w:r>
    </w:p>
    <w:p w14:paraId="6AB7D659">
      <w:pPr>
        <w:keepNext w:val="0"/>
        <w:keepLines w:val="0"/>
        <w:pageBreakBefore w:val="0"/>
        <w:wordWrap/>
        <w:topLinePunct w:val="0"/>
        <w:bidi w:val="0"/>
        <w:spacing w:line="560" w:lineRule="exact"/>
        <w:ind w:firstLine="643"/>
      </w:pPr>
      <w:r>
        <w:rPr>
          <w:b/>
          <w:bCs/>
        </w:rPr>
        <w:t>强化对外互联互通，</w:t>
      </w:r>
      <w:r>
        <w:t>以补齐跨区域交通短板为重点，加快国省道与高速公路升级改造，完善区域交通骨干体系；重点实施</w:t>
      </w:r>
      <w:r>
        <w:rPr>
          <w:rFonts w:hint="eastAsia"/>
        </w:rPr>
        <w:t>G</w:t>
      </w:r>
      <w:r>
        <w:t>104、</w:t>
      </w:r>
      <w:r>
        <w:rPr>
          <w:rFonts w:hint="eastAsia"/>
        </w:rPr>
        <w:t>S</w:t>
      </w:r>
      <w:r>
        <w:t>104长清段改扩建，提升与市中区、肥城市及泰安等周边区域的南北向联系；积极配合推进济临高速济南至齐河段、济南至阳谷高速济南至齐河段、济南绕城高速公路二环线南环段等工程项目建设，增强与聊城、德州等济南都市圈城市的快速联通能力；谋划争取农批市场北侧高速出入口建设，对接济临高速，高效服务物流运输与居民出行；积极配合推进</w:t>
      </w:r>
      <w:r>
        <w:rPr>
          <w:rFonts w:hint="eastAsia"/>
        </w:rPr>
        <w:t>京杭运河与小清河航道连通工程建设</w:t>
      </w:r>
      <w:r>
        <w:t>，开启我区内河航运新通道，同步谋划西部港区</w:t>
      </w:r>
      <w:r>
        <w:rPr>
          <w:rFonts w:hint="eastAsia"/>
        </w:rPr>
        <w:t>及港口配套服务园区</w:t>
      </w:r>
      <w:r>
        <w:t>建设，强化与农批市场协同联动，共建区域性农产品集散</w:t>
      </w:r>
      <w:r>
        <w:rPr>
          <w:rFonts w:hint="eastAsia"/>
        </w:rPr>
        <w:t>承载地</w:t>
      </w:r>
      <w:r>
        <w:t>，为济南建设北方商贸物流中心提供有力保障。</w:t>
      </w:r>
    </w:p>
    <w:p w14:paraId="12DC7F43">
      <w:pPr>
        <w:keepNext w:val="0"/>
        <w:keepLines w:val="0"/>
        <w:pageBreakBefore w:val="0"/>
        <w:wordWrap/>
        <w:topLinePunct w:val="0"/>
        <w:bidi w:val="0"/>
        <w:spacing w:line="560" w:lineRule="exact"/>
        <w:ind w:firstLine="643"/>
      </w:pPr>
      <w:r>
        <w:rPr>
          <w:b/>
          <w:bCs/>
        </w:rPr>
        <w:t>优化畅通区内路网，</w:t>
      </w:r>
      <w:r>
        <w:t>聚焦重点片区发展需求，完善路网结构，打通交通堵点；</w:t>
      </w:r>
      <w:r>
        <w:rPr>
          <w:rFonts w:hint="eastAsia"/>
        </w:rPr>
        <w:t>加快推进</w:t>
      </w:r>
      <w:r>
        <w:t>济郑高铁长清综合交通枢纽</w:t>
      </w:r>
      <w:r>
        <w:rPr>
          <w:rFonts w:hint="eastAsia"/>
        </w:rPr>
        <w:t>及配套基础设施建设</w:t>
      </w:r>
      <w:r>
        <w:t>，</w:t>
      </w:r>
      <w:r>
        <w:rPr>
          <w:rFonts w:hint="eastAsia"/>
        </w:rPr>
        <w:t>提升综合交通辐射功能；</w:t>
      </w:r>
      <w:r>
        <w:t>谋划推进国道220赵庄至槐荫界改建、平安快速路、国道220快速路建设，提升与市中、槐荫等区域的通达性；实施城乡断头路、拓宽拥堵路段等工程，完善城市微循环；谋划推进海棠路南延至万归路，加快中川湾片区路网建设，助力乡村振兴与产业发展；积极协调铁路战备</w:t>
      </w:r>
      <w:r>
        <w:rPr>
          <w:rFonts w:hint="eastAsia"/>
        </w:rPr>
        <w:t>迂回</w:t>
      </w:r>
      <w:r>
        <w:t>线北移，拓展产业发展空间。</w:t>
      </w:r>
    </w:p>
    <w:tbl>
      <w:tblPr>
        <w:tblStyle w:val="17"/>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9288"/>
      </w:tblGrid>
      <w:tr w14:paraId="171410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288" w:type="dxa"/>
          </w:tcPr>
          <w:p w14:paraId="318BD693">
            <w:pPr>
              <w:pStyle w:val="5"/>
              <w:keepNext w:val="0"/>
              <w:keepLines w:val="0"/>
              <w:pageBreakBefore w:val="0"/>
              <w:wordWrap/>
              <w:topLinePunct w:val="0"/>
              <w:bidi w:val="0"/>
              <w:spacing w:after="0" w:line="560" w:lineRule="exact"/>
              <w:ind w:firstLine="0" w:firstLineChars="0"/>
              <w:jc w:val="center"/>
              <w:textAlignment w:val="baseline"/>
              <w:rPr>
                <w:rFonts w:ascii="楷体_GB2312" w:hAnsi="楷体_GB2312" w:eastAsia="楷体_GB2312" w:cs="楷体_GB2312"/>
              </w:rPr>
            </w:pPr>
            <w:r>
              <w:rPr>
                <w:rFonts w:hint="eastAsia" w:ascii="黑体" w:hAnsi="黑体" w:eastAsia="黑体" w:cs="黑体"/>
                <w:sz w:val="30"/>
                <w:szCs w:val="30"/>
              </w:rPr>
              <w:t>专栏6  交通基础设施重点项目</w:t>
            </w:r>
          </w:p>
          <w:p w14:paraId="63C3AFE6">
            <w:pPr>
              <w:pStyle w:val="5"/>
              <w:keepNext w:val="0"/>
              <w:keepLines w:val="0"/>
              <w:pageBreakBefore w:val="0"/>
              <w:wordWrap/>
              <w:topLinePunct w:val="0"/>
              <w:bidi w:val="0"/>
              <w:spacing w:after="0" w:line="560" w:lineRule="exact"/>
              <w:ind w:firstLine="560"/>
              <w:textAlignment w:val="baseline"/>
            </w:pPr>
            <w:r>
              <w:rPr>
                <w:rFonts w:hint="eastAsia" w:ascii="楷体_GB2312" w:hAnsi="楷体_GB2312" w:eastAsia="楷体_GB2312" w:cs="楷体_GB2312"/>
                <w:sz w:val="28"/>
                <w:szCs w:val="28"/>
              </w:rPr>
              <w:t>G104京岚线长清崮山至界首立交段改建、S104济微线长清互通至济南肥城界段改建、济郑高铁长清综合交通枢纽及配套基础设施建设工程、济南热电集团铁路专用线项目、中川湾城乡路网及配套场站工程、长清区“四好农村路”工程项目</w:t>
            </w:r>
          </w:p>
        </w:tc>
      </w:tr>
    </w:tbl>
    <w:p w14:paraId="34B89265">
      <w:pPr>
        <w:pStyle w:val="4"/>
        <w:keepNext w:val="0"/>
        <w:keepLines w:val="0"/>
        <w:pageBreakBefore w:val="0"/>
        <w:wordWrap/>
        <w:topLinePunct w:val="0"/>
        <w:bidi w:val="0"/>
        <w:spacing w:line="560" w:lineRule="exact"/>
      </w:pPr>
      <w:bookmarkStart w:id="121" w:name="_Toc1929735001"/>
      <w:bookmarkStart w:id="122" w:name="_Toc233272384"/>
      <w:bookmarkStart w:id="123" w:name="_Toc684226266"/>
      <w:r>
        <w:t>第二节</w:t>
      </w:r>
      <w:r>
        <w:rPr>
          <w:rFonts w:hint="eastAsia"/>
        </w:rPr>
        <w:t xml:space="preserve"> </w:t>
      </w:r>
      <w:r>
        <w:t>强化能源基础设施支撑</w:t>
      </w:r>
      <w:bookmarkEnd w:id="121"/>
      <w:bookmarkEnd w:id="122"/>
      <w:bookmarkEnd w:id="123"/>
    </w:p>
    <w:p w14:paraId="3F313895">
      <w:pPr>
        <w:keepNext w:val="0"/>
        <w:keepLines w:val="0"/>
        <w:pageBreakBefore w:val="0"/>
        <w:wordWrap/>
        <w:topLinePunct w:val="0"/>
        <w:bidi w:val="0"/>
        <w:spacing w:line="560" w:lineRule="exact"/>
        <w:ind w:firstLine="640"/>
      </w:pPr>
      <w:r>
        <w:t>立足区域能源资源禀赋，聚焦绿色低碳转型，加快推进储能、天然气、电</w:t>
      </w:r>
      <w:r>
        <w:rPr>
          <w:rFonts w:hint="eastAsia"/>
        </w:rPr>
        <w:t>网</w:t>
      </w:r>
      <w:r>
        <w:t>等能源基础设施建设，构建清洁</w:t>
      </w:r>
      <w:r>
        <w:rPr>
          <w:rFonts w:hint="eastAsia"/>
        </w:rPr>
        <w:t>低碳</w:t>
      </w:r>
      <w:r>
        <w:t>、安全高效的能源供应体系，为区域产业转型升级与居民高品质生活提供稳定支撑。</w:t>
      </w:r>
    </w:p>
    <w:p w14:paraId="74B2B8A1">
      <w:pPr>
        <w:keepNext w:val="0"/>
        <w:keepLines w:val="0"/>
        <w:pageBreakBefore w:val="0"/>
        <w:wordWrap/>
        <w:topLinePunct w:val="0"/>
        <w:bidi w:val="0"/>
        <w:spacing w:line="560" w:lineRule="exact"/>
        <w:ind w:firstLine="642" w:firstLineChars="0"/>
      </w:pPr>
      <w:r>
        <w:rPr>
          <w:rFonts w:hint="eastAsia"/>
          <w:b/>
          <w:bCs/>
        </w:rPr>
        <w:t>构建多元储能体系</w:t>
      </w:r>
      <w:r>
        <w:rPr>
          <w:rFonts w:hint="eastAsia"/>
        </w:rPr>
        <w:t>，有序推进大型储能电站、集中式和分布式储能项目建设，提升电力系统互补互济和安全韧性水平；发挥水资源丰富优势，加快推进万德抽水蓄能电站落地；结合变电站布局，在归德街道招引落地1-2个集中式大型储能电站；围绕促进电力稳定供应，结合电网侧、用户侧需求，针对用电大户或企业，谋划推进一批</w:t>
      </w:r>
      <w:r>
        <w:t>户用储能、工商业储能、台区云储能</w:t>
      </w:r>
      <w:r>
        <w:rPr>
          <w:rFonts w:hint="eastAsia"/>
        </w:rPr>
        <w:t>等分布式储能项目。</w:t>
      </w:r>
    </w:p>
    <w:p w14:paraId="0F3C83B8">
      <w:pPr>
        <w:keepNext w:val="0"/>
        <w:keepLines w:val="0"/>
        <w:pageBreakBefore w:val="0"/>
        <w:wordWrap/>
        <w:topLinePunct w:val="0"/>
        <w:bidi w:val="0"/>
        <w:spacing w:line="560" w:lineRule="exact"/>
        <w:ind w:firstLine="642" w:firstLineChars="0"/>
      </w:pPr>
      <w:r>
        <w:rPr>
          <w:rFonts w:hint="eastAsia"/>
          <w:b/>
          <w:bCs/>
        </w:rPr>
        <w:t>加大天然气清洁能源利用</w:t>
      </w:r>
      <w:r>
        <w:rPr>
          <w:rFonts w:hint="eastAsia"/>
        </w:rPr>
        <w:t>，充分发挥中俄东线、冀宁线、宣宁线在长清归德设置的3个天然气分输站资源优势，加快发展天然气分布式能源，谋划布局天然气应用场景，推动化石能源清洁高效利用，打造归德清洁低碳特色园区。</w:t>
      </w:r>
    </w:p>
    <w:p w14:paraId="28961053">
      <w:pPr>
        <w:keepNext w:val="0"/>
        <w:keepLines w:val="0"/>
        <w:pageBreakBefore w:val="0"/>
        <w:wordWrap/>
        <w:topLinePunct w:val="0"/>
        <w:bidi w:val="0"/>
        <w:spacing w:line="560" w:lineRule="exact"/>
        <w:ind w:firstLine="643"/>
      </w:pPr>
      <w:r>
        <w:rPr>
          <w:rFonts w:hint="eastAsia"/>
          <w:b/>
          <w:bCs/>
        </w:rPr>
        <w:t>提升电网保障能力</w:t>
      </w:r>
      <w:r>
        <w:rPr>
          <w:rFonts w:hint="eastAsia"/>
        </w:rPr>
        <w:t>，以解决运行中的结构性问题、提升供电能力与可靠性为核心，推进各级电网协调发展，确保供电能力与负荷同步增长；重点新建220千伏海棠变电站，配套建设7回110千伏送出工程，优化中东部电网结构，提升创新谷片区供电能力；谋划推进110千伏和信站、马乡站建设，保障满足重点区域发展；加快推进35千伏张夏站整体改造工程建设，通过技术改造、设备升级，提升35千伏电网供电保障能力；持续加强10千伏电网优化升级，通过配农网升级改造及配电网技改、大修等措施，提高配电网的转供能力、分布式能源消纳能力以及安全韧性水平。</w:t>
      </w:r>
    </w:p>
    <w:p w14:paraId="6E529B78">
      <w:pPr>
        <w:pStyle w:val="4"/>
        <w:keepNext w:val="0"/>
        <w:keepLines w:val="0"/>
        <w:pageBreakBefore w:val="0"/>
        <w:wordWrap/>
        <w:topLinePunct w:val="0"/>
        <w:bidi w:val="0"/>
        <w:spacing w:line="560" w:lineRule="exact"/>
      </w:pPr>
      <w:bookmarkStart w:id="124" w:name="_Toc2043511468"/>
      <w:bookmarkStart w:id="125" w:name="_Toc233272385"/>
      <w:bookmarkStart w:id="126" w:name="_Toc1669261927"/>
      <w:r>
        <w:rPr>
          <w:rFonts w:hint="eastAsia"/>
        </w:rPr>
        <w:t>第三节 推进现代水网体系建设</w:t>
      </w:r>
      <w:bookmarkEnd w:id="124"/>
      <w:bookmarkEnd w:id="125"/>
      <w:bookmarkEnd w:id="126"/>
    </w:p>
    <w:p w14:paraId="44595823">
      <w:pPr>
        <w:pStyle w:val="5"/>
        <w:keepNext w:val="0"/>
        <w:keepLines w:val="0"/>
        <w:pageBreakBefore w:val="0"/>
        <w:wordWrap/>
        <w:topLinePunct w:val="0"/>
        <w:bidi w:val="0"/>
        <w:spacing w:after="0" w:line="560" w:lineRule="exact"/>
        <w:ind w:firstLine="640"/>
        <w:textAlignment w:val="baseline"/>
      </w:pPr>
      <w:r>
        <w:rPr>
          <w:rFonts w:hint="eastAsia"/>
        </w:rPr>
        <w:t>立足黄河流域生态保护和高质量发展战略要求，统筹推进水资源保障、水生态治理、防洪减灾等水利基础设施建设，加快建设“水源保障、水网通畅、供水可靠、河库安澜、水清岸绿、运管高效”的现代水网体系，逐步构建“两轴五源多点”水资源保障格局与“一横四纵两区”防洪减灾格局，提升水安全保障能力。</w:t>
      </w:r>
    </w:p>
    <w:p w14:paraId="1F6889BD">
      <w:pPr>
        <w:pStyle w:val="5"/>
        <w:keepNext w:val="0"/>
        <w:keepLines w:val="0"/>
        <w:pageBreakBefore w:val="0"/>
        <w:wordWrap/>
        <w:topLinePunct w:val="0"/>
        <w:bidi w:val="0"/>
        <w:spacing w:after="0" w:line="560" w:lineRule="exact"/>
        <w:ind w:firstLine="640"/>
        <w:textAlignment w:val="baseline"/>
      </w:pPr>
      <w:r>
        <w:rPr>
          <w:rFonts w:hint="eastAsia"/>
        </w:rPr>
        <w:t>水资源保障工程方面。加强水源工程建设与供水管网改造，保障城乡用水需求。加快建设武庄水库扩建工程、崮头水库增容工程，策划论证钓鱼台水库改扩建工程、石店水库改扩建工程，新建崮云湖街道大刘水库及张夏街道宋庄塘坝等，提升区域蓄水能力；加强城镇污水处理设施运营维护，开展公共供水管网漏损排查治理，2030年将城市公共供水管网漏损率控制在目标范围内；谋划推进水库灌区续建配套与现代化改造工程，完善农业灌溉设施，助力乡村振兴。</w:t>
      </w:r>
    </w:p>
    <w:p w14:paraId="481FA0CB">
      <w:pPr>
        <w:keepNext w:val="0"/>
        <w:keepLines w:val="0"/>
        <w:pageBreakBefore w:val="0"/>
        <w:wordWrap/>
        <w:topLinePunct w:val="0"/>
        <w:bidi w:val="0"/>
        <w:spacing w:line="560" w:lineRule="exact"/>
        <w:ind w:firstLine="640"/>
      </w:pPr>
      <w:r>
        <w:rPr>
          <w:rFonts w:hint="eastAsia"/>
        </w:rPr>
        <w:t>水生态与防洪减灾工程方面。加强河道治理与防洪设施建设，改善水生态环境。推进南大沙河（崮头水库至小屯水库段、马山段）、清水沟综合治理工程，完成北大沙河（候集桥—石店桥段、武庄水库—金山铺桥段）清淤疏浚与堤防加固，分期打造北大沙河美丽幸福河湖，改善河道水质与生态环境，构建滨水生态廊道；实施小型水库除险加固工程，策划论证山洪沟治理工程；推进长清区沿黄区域排涝工程、济南经济开发区北排水防涝设施改造、大学城片区污水设施改造及再生水利用工程，开展雨污分流改造，完善城市排水防涝体系，保障城市安全运行。</w:t>
      </w:r>
    </w:p>
    <w:tbl>
      <w:tblPr>
        <w:tblStyle w:val="17"/>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9288"/>
      </w:tblGrid>
      <w:tr w14:paraId="5B9784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288" w:type="dxa"/>
          </w:tcPr>
          <w:p w14:paraId="62876345">
            <w:pPr>
              <w:pStyle w:val="5"/>
              <w:keepNext w:val="0"/>
              <w:keepLines w:val="0"/>
              <w:pageBreakBefore w:val="0"/>
              <w:wordWrap/>
              <w:topLinePunct w:val="0"/>
              <w:bidi w:val="0"/>
              <w:spacing w:after="0" w:line="560" w:lineRule="exact"/>
              <w:ind w:firstLine="0" w:firstLineChars="0"/>
              <w:jc w:val="center"/>
              <w:textAlignment w:val="baseline"/>
              <w:rPr>
                <w:rFonts w:ascii="楷体_GB2312" w:hAnsi="楷体_GB2312" w:eastAsia="楷体_GB2312" w:cs="楷体_GB2312"/>
              </w:rPr>
            </w:pPr>
            <w:r>
              <w:rPr>
                <w:rFonts w:hint="eastAsia" w:ascii="黑体" w:hAnsi="黑体" w:eastAsia="黑体" w:cs="黑体"/>
                <w:sz w:val="30"/>
                <w:szCs w:val="30"/>
              </w:rPr>
              <w:t>专栏7  能源基础设施及现代水网重点项目</w:t>
            </w:r>
          </w:p>
          <w:p w14:paraId="1D2D35D0">
            <w:pPr>
              <w:pStyle w:val="5"/>
              <w:keepNext w:val="0"/>
              <w:keepLines w:val="0"/>
              <w:pageBreakBefore w:val="0"/>
              <w:wordWrap/>
              <w:topLinePunct w:val="0"/>
              <w:bidi w:val="0"/>
              <w:spacing w:after="0" w:line="560" w:lineRule="exact"/>
              <w:ind w:firstLine="560"/>
              <w:textAlignment w:val="baseline"/>
            </w:pPr>
            <w:r>
              <w:rPr>
                <w:rFonts w:hint="eastAsia" w:ascii="楷体_GB2312" w:hAnsi="楷体_GB2312" w:eastAsia="楷体_GB2312" w:cs="楷体_GB2312"/>
                <w:sz w:val="28"/>
                <w:szCs w:val="28"/>
              </w:rPr>
              <w:t xml:space="preserve">济南热电集团2×66万千瓦先进燃煤机组配套能源供热项目、济南热电集团新建燃煤机组高效电极锅炉组合热泵余热回收及高低温储热调峰项目、长清区畜禽养殖废弃物资源化综合利用示范项目、山沐新能源济南市长清区400MW/800MWh电网侧新型独立储能电站项目、长清区源网荷储智慧虚拟电厂项目、长清区归德街道及文昌街道台区云储智慧能源项目、中泉申城能源长清供热中心一期项目；武庄水库扩建工程、崮头水库增容工程、南大沙河（崮头水库至小屯水库段）段综合治理工程             </w:t>
            </w:r>
          </w:p>
        </w:tc>
      </w:tr>
    </w:tbl>
    <w:p w14:paraId="077845FE">
      <w:pPr>
        <w:pStyle w:val="2"/>
        <w:keepNext w:val="0"/>
        <w:keepLines w:val="0"/>
        <w:pageBreakBefore w:val="0"/>
        <w:wordWrap/>
        <w:topLinePunct w:val="0"/>
        <w:bidi w:val="0"/>
        <w:spacing w:line="560" w:lineRule="exact"/>
        <w:rPr>
          <w:rFonts w:hint="eastAsia"/>
        </w:rPr>
      </w:pPr>
    </w:p>
    <w:p w14:paraId="6D12CCD5">
      <w:pPr>
        <w:pStyle w:val="2"/>
        <w:keepNext w:val="0"/>
        <w:keepLines w:val="0"/>
        <w:pageBreakBefore w:val="0"/>
        <w:wordWrap/>
        <w:topLinePunct w:val="0"/>
        <w:bidi w:val="0"/>
        <w:spacing w:line="560" w:lineRule="exact"/>
      </w:pPr>
      <w:bookmarkStart w:id="127" w:name="_Toc233272386"/>
      <w:r>
        <w:rPr>
          <w:rFonts w:hint="eastAsia"/>
        </w:rPr>
        <w:t>和美篇</w:t>
      </w:r>
      <w:bookmarkEnd w:id="102"/>
      <w:bookmarkEnd w:id="103"/>
      <w:bookmarkEnd w:id="104"/>
      <w:bookmarkEnd w:id="127"/>
    </w:p>
    <w:p w14:paraId="257F6845">
      <w:pPr>
        <w:pStyle w:val="3"/>
        <w:keepNext w:val="0"/>
        <w:keepLines w:val="0"/>
        <w:pageBreakBefore w:val="0"/>
        <w:wordWrap/>
        <w:topLinePunct w:val="0"/>
        <w:bidi w:val="0"/>
        <w:spacing w:line="560" w:lineRule="exact"/>
      </w:pPr>
      <w:bookmarkStart w:id="128" w:name="_Toc233272387"/>
      <w:bookmarkStart w:id="129" w:name="_Toc639522541"/>
      <w:bookmarkStart w:id="130" w:name="_Toc321927106"/>
      <w:bookmarkStart w:id="131" w:name="_Toc2049680414"/>
      <w:r>
        <w:rPr>
          <w:rFonts w:hint="eastAsia"/>
        </w:rPr>
        <w:t>第八章  全面推进乡村振兴，打造宜居宜业和美乡村</w:t>
      </w:r>
      <w:bookmarkEnd w:id="128"/>
      <w:bookmarkEnd w:id="129"/>
      <w:bookmarkEnd w:id="130"/>
      <w:bookmarkEnd w:id="131"/>
    </w:p>
    <w:p w14:paraId="0342AF48">
      <w:pPr>
        <w:pStyle w:val="15"/>
        <w:keepNext w:val="0"/>
        <w:keepLines w:val="0"/>
        <w:pageBreakBefore w:val="0"/>
        <w:wordWrap/>
        <w:topLinePunct w:val="0"/>
        <w:bidi w:val="0"/>
        <w:spacing w:line="560" w:lineRule="exact"/>
        <w:ind w:firstLine="640"/>
      </w:pPr>
    </w:p>
    <w:p w14:paraId="6F78BC46">
      <w:pPr>
        <w:keepNext w:val="0"/>
        <w:keepLines w:val="0"/>
        <w:pageBreakBefore w:val="0"/>
        <w:wordWrap/>
        <w:topLinePunct w:val="0"/>
        <w:bidi w:val="0"/>
        <w:spacing w:line="560" w:lineRule="exact"/>
        <w:ind w:firstLine="640"/>
      </w:pPr>
      <w:bookmarkStart w:id="132" w:name="_Toc917951702"/>
      <w:bookmarkStart w:id="133" w:name="_Toc1403719178"/>
      <w:r>
        <w:t>立足区域农业基础、生态禀赋与文化底蕴，以保障粮食安全为底线，以深化农村改革为动力，以发展特色产业为支撑，以改善人居环境为抓手，统筹推进宜居宜业和美乡村</w:t>
      </w:r>
      <w:r>
        <w:rPr>
          <w:rFonts w:hint="eastAsia"/>
        </w:rPr>
        <w:t>建设</w:t>
      </w:r>
      <w:r>
        <w:t>。</w:t>
      </w:r>
    </w:p>
    <w:p w14:paraId="377DCDC4">
      <w:pPr>
        <w:pStyle w:val="4"/>
        <w:keepNext w:val="0"/>
        <w:keepLines w:val="0"/>
        <w:pageBreakBefore w:val="0"/>
        <w:wordWrap/>
        <w:topLinePunct w:val="0"/>
        <w:bidi w:val="0"/>
        <w:spacing w:line="560" w:lineRule="exact"/>
      </w:pPr>
      <w:bookmarkStart w:id="134" w:name="_Toc150912414"/>
      <w:bookmarkStart w:id="135" w:name="_Toc233272388"/>
      <w:bookmarkStart w:id="136" w:name="_Toc1973399613"/>
      <w:r>
        <w:rPr>
          <w:rFonts w:hint="eastAsia"/>
        </w:rPr>
        <w:t xml:space="preserve">第一节 </w:t>
      </w:r>
      <w:r>
        <w:t>严守耕地保护红线，夯实乡村振兴物质基础</w:t>
      </w:r>
      <w:bookmarkEnd w:id="134"/>
      <w:bookmarkEnd w:id="135"/>
      <w:bookmarkEnd w:id="136"/>
    </w:p>
    <w:p w14:paraId="13CA6D62">
      <w:pPr>
        <w:keepNext w:val="0"/>
        <w:keepLines w:val="0"/>
        <w:pageBreakBefore w:val="0"/>
        <w:wordWrap/>
        <w:topLinePunct w:val="0"/>
        <w:bidi w:val="0"/>
        <w:spacing w:line="560" w:lineRule="exact"/>
        <w:ind w:firstLine="640"/>
      </w:pPr>
      <w:r>
        <w:t>耕地是农业生产的命根子，是保障粮食安全的根本。坚持最严格的耕地保护制度，以全域土地综合整治为核心，以高标准农田建设为重点，持续优化乡村生产空间布局，为乡村产业发展筑牢硬件支撑</w:t>
      </w:r>
      <w:r>
        <w:rPr>
          <w:rFonts w:hint="eastAsia"/>
        </w:rPr>
        <w:t>，坚决守牢44.66万亩耕地红线</w:t>
      </w:r>
      <w:r>
        <w:t>。</w:t>
      </w:r>
    </w:p>
    <w:p w14:paraId="5B12E30D">
      <w:pPr>
        <w:keepNext w:val="0"/>
        <w:keepLines w:val="0"/>
        <w:pageBreakBefore w:val="0"/>
        <w:wordWrap/>
        <w:topLinePunct w:val="0"/>
        <w:bidi w:val="0"/>
        <w:spacing w:line="560" w:lineRule="exact"/>
        <w:ind w:firstLine="643"/>
      </w:pPr>
      <w:r>
        <w:rPr>
          <w:b/>
          <w:bCs/>
        </w:rPr>
        <w:t>推进全域土地综合整治</w:t>
      </w:r>
      <w:r>
        <w:rPr>
          <w:rFonts w:hint="eastAsia"/>
        </w:rPr>
        <w:t>。</w:t>
      </w:r>
      <w:r>
        <w:t>聚焦“耕地保护、空间优化、产业适配”三大目标，统筹山水林田湖草系统治理，分区域推进全域土地综合整治工程。通过耕地提质改造、闲置宅基地复垦、撂荒地整治、生态廊道建设，实现“耕地数量稳中有增、空间布局更趋合理、生态环境持续改善”</w:t>
      </w:r>
      <w:r>
        <w:rPr>
          <w:rFonts w:hint="eastAsia"/>
        </w:rPr>
        <w:t>。</w:t>
      </w:r>
      <w:r>
        <w:t>整合五峰山景区、钓鱼台水库等资源，通过土地整治盘活闲置用地，布局医疗康养、休闲度假项目，推动土地资源向高附加值产业转化</w:t>
      </w:r>
      <w:r>
        <w:rPr>
          <w:rFonts w:hint="eastAsia"/>
        </w:rPr>
        <w:t>，</w:t>
      </w:r>
      <w:r>
        <w:t>实现耕地保护与产业发展的协同推进。</w:t>
      </w:r>
    </w:p>
    <w:p w14:paraId="6EE3CB44">
      <w:pPr>
        <w:keepNext w:val="0"/>
        <w:keepLines w:val="0"/>
        <w:pageBreakBefore w:val="0"/>
        <w:wordWrap/>
        <w:topLinePunct w:val="0"/>
        <w:bidi w:val="0"/>
        <w:spacing w:line="560" w:lineRule="exact"/>
        <w:ind w:firstLine="643"/>
      </w:pPr>
      <w:r>
        <w:rPr>
          <w:b/>
          <w:bCs/>
        </w:rPr>
        <w:t>加强高标准农田建设</w:t>
      </w:r>
      <w:r>
        <w:rPr>
          <w:rFonts w:hint="eastAsia"/>
        </w:rPr>
        <w:t>。以“藏粮于地、藏粮于技”为导向，持续扩大高标准农田建设规模，“十五五”末达到15万亩，推动适度规模化经营，引导农户有序流转土地，破解碎片化种植难题。同步完善灌排体系、田间道路、输变电设备等基础设施，升级农田“宜机化、节水化、生态化”改造，推广联合收割机、无人植保机等装备，推动实现耕种管收全程机械化；加强科学种植，引入智能灌溉系统，强化田间智能化管理，助力亩均产量实现明显提升。严格落实高标准农田管护责任，建立 “政府主导、主体负责、群众参与” 的管护机制，确保建成一亩、管好一亩、见效一亩。</w:t>
      </w:r>
    </w:p>
    <w:p w14:paraId="4BE9A4C8">
      <w:pPr>
        <w:keepNext w:val="0"/>
        <w:keepLines w:val="0"/>
        <w:pageBreakBefore w:val="0"/>
        <w:wordWrap/>
        <w:topLinePunct w:val="0"/>
        <w:bidi w:val="0"/>
        <w:spacing w:line="560" w:lineRule="exact"/>
        <w:ind w:firstLine="643"/>
      </w:pPr>
      <w:r>
        <w:rPr>
          <w:b/>
          <w:bCs/>
        </w:rPr>
        <w:t>优化乡村生产空间布局</w:t>
      </w:r>
      <w:r>
        <w:t>。依托沿黄地区土壤肥沃、灌溉便利的优势，打造形成“两带引领、全域覆盖”的粮油生产格局。同时，提升农机装备水平，推动应用高质高效的农业机械，加强粮食烘干能力建设，补齐粮食烘干设施装备短板，降低粮食实质损失。到2030年，建设粮食日烘干能力在300吨的粮食烘干中心1</w:t>
      </w:r>
      <w:r>
        <w:rPr>
          <w:rFonts w:hint="eastAsia"/>
        </w:rPr>
        <w:t>-</w:t>
      </w:r>
      <w:r>
        <w:t>2处，在粮食主产区布局现代化粮库，配套粮食加工、冷链运输设施，依托济清农产品智慧物流中心等重大项目，打造“冷链仓储+多式联运”集群。同步推进数字物流平台建设，实现粮食运输、仓储、交易数据实时互通。</w:t>
      </w:r>
      <w:r>
        <w:rPr>
          <w:rFonts w:hint="eastAsia"/>
        </w:rPr>
        <w:t>围绕内河航运发展，谋划建设</w:t>
      </w:r>
      <w:r>
        <w:t>粮食专用码头，建设集装卸、仓储、加工于一体的临港物流园区，形成“航道</w:t>
      </w:r>
      <w:r>
        <w:rPr>
          <w:rFonts w:hint="eastAsia"/>
        </w:rPr>
        <w:t>-</w:t>
      </w:r>
      <w:r>
        <w:t>港口</w:t>
      </w:r>
      <w:r>
        <w:rPr>
          <w:rFonts w:hint="eastAsia"/>
        </w:rPr>
        <w:t>-</w:t>
      </w:r>
      <w:r>
        <w:t>产业”联动发展格局。</w:t>
      </w:r>
    </w:p>
    <w:p w14:paraId="261FF5C6">
      <w:pPr>
        <w:pStyle w:val="4"/>
        <w:keepNext w:val="0"/>
        <w:keepLines w:val="0"/>
        <w:pageBreakBefore w:val="0"/>
        <w:wordWrap/>
        <w:topLinePunct w:val="0"/>
        <w:bidi w:val="0"/>
        <w:spacing w:line="560" w:lineRule="exact"/>
      </w:pPr>
      <w:bookmarkStart w:id="137" w:name="_Toc233272389"/>
      <w:bookmarkStart w:id="138" w:name="_Toc1033986970"/>
      <w:bookmarkStart w:id="139" w:name="_Toc1370831347"/>
      <w:r>
        <w:rPr>
          <w:rFonts w:hint="eastAsia"/>
        </w:rPr>
        <w:t xml:space="preserve">第二节 </w:t>
      </w:r>
      <w:r>
        <w:t>深化农村改革创新，激活乡村振兴内生动力</w:t>
      </w:r>
      <w:bookmarkEnd w:id="137"/>
      <w:bookmarkEnd w:id="138"/>
      <w:bookmarkEnd w:id="139"/>
    </w:p>
    <w:p w14:paraId="705554FA">
      <w:pPr>
        <w:keepNext w:val="0"/>
        <w:keepLines w:val="0"/>
        <w:pageBreakBefore w:val="0"/>
        <w:wordWrap/>
        <w:topLinePunct w:val="0"/>
        <w:bidi w:val="0"/>
        <w:spacing w:line="560" w:lineRule="exact"/>
        <w:ind w:firstLine="640"/>
      </w:pPr>
      <w:r>
        <w:rPr>
          <w:rFonts w:hint="eastAsia"/>
        </w:rPr>
        <w:t>狠抓</w:t>
      </w:r>
      <w:r>
        <w:t>改革</w:t>
      </w:r>
      <w:r>
        <w:rPr>
          <w:rFonts w:hint="eastAsia"/>
        </w:rPr>
        <w:t>这一</w:t>
      </w:r>
      <w:r>
        <w:t>破解乡村发展瓶颈的关键举措</w:t>
      </w:r>
      <w:r>
        <w:rPr>
          <w:rFonts w:hint="eastAsia"/>
        </w:rPr>
        <w:t>，</w:t>
      </w:r>
      <w:r>
        <w:t>聚焦农村土地制度、集体产权制度、农业经营体系等重点领域，持续深化改革，破除体制机制障碍，释放乡村发展活力</w:t>
      </w:r>
      <w:r>
        <w:rPr>
          <w:rFonts w:hint="eastAsia"/>
        </w:rPr>
        <w:t>，推进农村质量综合提升</w:t>
      </w:r>
      <w:r>
        <w:t>。</w:t>
      </w:r>
    </w:p>
    <w:p w14:paraId="0191434D">
      <w:pPr>
        <w:keepNext w:val="0"/>
        <w:keepLines w:val="0"/>
        <w:pageBreakBefore w:val="0"/>
        <w:wordWrap/>
        <w:topLinePunct w:val="0"/>
        <w:bidi w:val="0"/>
        <w:spacing w:line="560" w:lineRule="exact"/>
        <w:ind w:firstLine="643"/>
      </w:pPr>
      <w:r>
        <w:rPr>
          <w:b/>
          <w:bCs/>
        </w:rPr>
        <w:t>稳定完善农村土地制度</w:t>
      </w:r>
      <w:r>
        <w:rPr>
          <w:rFonts w:hint="eastAsia"/>
        </w:rPr>
        <w:t>。</w:t>
      </w:r>
      <w:r>
        <w:t>稳步推进第二轮土地承包到期后再延长30年试点工作，全面完成农村土地确权登记颁证“回头看”，确保农户土地承包经营权稳定并长期不变。健全土地流转服务体系，在各街道（镇）设立土地流转服务中心，推广“线上挂牌+线下对接”模式，引导零散土地向家庭农场、农民合作社、农业龙头企业集中，推动土地</w:t>
      </w:r>
      <w:r>
        <w:rPr>
          <w:rFonts w:hint="eastAsia"/>
        </w:rPr>
        <w:t>适度</w:t>
      </w:r>
      <w:r>
        <w:t>规模化经营。积极探索盘活农村闲置厂房、废弃校舍等建设用地，用于乡村产业发展和公共设施建设。</w:t>
      </w:r>
    </w:p>
    <w:p w14:paraId="20B54A81">
      <w:pPr>
        <w:keepNext w:val="0"/>
        <w:keepLines w:val="0"/>
        <w:pageBreakBefore w:val="0"/>
        <w:wordWrap/>
        <w:topLinePunct w:val="0"/>
        <w:bidi w:val="0"/>
        <w:spacing w:line="560" w:lineRule="exact"/>
        <w:ind w:firstLine="643"/>
        <w:rPr>
          <w:strike/>
        </w:rPr>
      </w:pPr>
      <w:r>
        <w:rPr>
          <w:b/>
          <w:bCs/>
        </w:rPr>
        <w:t>发展壮大农村集体经济</w:t>
      </w:r>
      <w:r>
        <w:rPr>
          <w:rFonts w:hint="eastAsia"/>
        </w:rPr>
        <w:t>。</w:t>
      </w:r>
      <w:r>
        <w:t>深化农村集体产权制度改革，明确集体资产所有权、经营权、收益权归属，防止集体资产流失。创新集体经济发展模式，推广“资源发包、物业出租、资产入股、服务创收”等路径</w:t>
      </w:r>
      <w:r>
        <w:rPr>
          <w:rFonts w:hint="eastAsia"/>
        </w:rPr>
        <w:t>。</w:t>
      </w:r>
      <w:r>
        <w:t>在山区街道（镇），依托林果、中药材等资源，发展“集体+农户+企业”的合作经营模式；在城郊街道，利用区位优势，建设仓储物流、农贸市场等</w:t>
      </w:r>
      <w:r>
        <w:rPr>
          <w:rFonts w:hint="eastAsia"/>
        </w:rPr>
        <w:t>服务业</w:t>
      </w:r>
      <w:r>
        <w:t>项目，通过租金收益壮大集体资产。实施村党组织“跨村联建”工程，推动产业相近、资源互补的村庄联合成立集体经济联盟，共同开发特色产业项目，建立“收益按股分红、风险共担”的利益联结机制，打破行政村域限制。</w:t>
      </w:r>
    </w:p>
    <w:p w14:paraId="6DEFC484">
      <w:pPr>
        <w:keepNext w:val="0"/>
        <w:keepLines w:val="0"/>
        <w:pageBreakBefore w:val="0"/>
        <w:wordWrap/>
        <w:topLinePunct w:val="0"/>
        <w:bidi w:val="0"/>
        <w:spacing w:line="560" w:lineRule="exact"/>
        <w:ind w:firstLine="643"/>
      </w:pPr>
      <w:r>
        <w:rPr>
          <w:b/>
          <w:bCs/>
        </w:rPr>
        <w:t>健全农业社会化服务体系</w:t>
      </w:r>
      <w:r>
        <w:rPr>
          <w:rFonts w:hint="eastAsia"/>
        </w:rPr>
        <w:t>。推动</w:t>
      </w:r>
      <w:r>
        <w:t>成立长清区农业社会化服务联盟，构建“全程托管、菜单服务、精准指导”的服务模式。发挥清农公司、供销社龙头牵引作用</w:t>
      </w:r>
      <w:r>
        <w:rPr>
          <w:rFonts w:hint="eastAsia"/>
        </w:rPr>
        <w:t>，</w:t>
      </w:r>
      <w:r>
        <w:t>组建农业社会化服务合作社，整合农机具及畜禽养殖专用设备（如自动饲喂机、环境控制器等），升级“农机共享+养殖设备租赁”平台，降低小农户及新型经营主体生产经营成本。重点培育市级以上农业社会化服务组织，为农户提供“耕、种、防、收、销”全链条种植服务；拓展养殖领域社会化服务</w:t>
      </w:r>
      <w:r>
        <w:rPr>
          <w:rFonts w:hint="eastAsia"/>
        </w:rPr>
        <w:t>，</w:t>
      </w:r>
      <w:r>
        <w:t>针对生猪、奶牛、蛋鸡等产业，</w:t>
      </w:r>
      <w:r>
        <w:rPr>
          <w:rFonts w:hint="eastAsia"/>
        </w:rPr>
        <w:t>探索</w:t>
      </w:r>
      <w:r>
        <w:t>提供“种源供应-饲料配送-疫病防控-屠宰加工-粪污资源化利用”全链条服务。推动农事服务中心建设，开展“田间课堂”培训，每年培训农户3000人次以上，涵盖种植、养殖双领域技术，提升农民生产技能，推动小农户融入现代农业发展体系。</w:t>
      </w:r>
    </w:p>
    <w:p w14:paraId="213A635A">
      <w:pPr>
        <w:keepNext w:val="0"/>
        <w:keepLines w:val="0"/>
        <w:pageBreakBefore w:val="0"/>
        <w:wordWrap/>
        <w:topLinePunct w:val="0"/>
        <w:bidi w:val="0"/>
        <w:spacing w:line="560" w:lineRule="exact"/>
        <w:ind w:firstLine="643"/>
      </w:pPr>
      <w:r>
        <w:rPr>
          <w:b/>
          <w:bCs/>
        </w:rPr>
        <w:t>推进农村质量综合提升</w:t>
      </w:r>
      <w:r>
        <w:t>。实施农村垃圾“全域清零”工程，实现农村生活垃圾无害化处理率100%。利用好现有的“小型集中式污水处理站”等设施，持续做好农村污水治理设施运维管理工作。加强农村供水保障，确保农村自来水普及率、水质达标率稳定在100%。加强农村危房监测、改造，切实解决农村群众安居问题。加强农村电力、通讯设施建设，推动农村电网改造升级，持续提升乡村基础设施水平。</w:t>
      </w:r>
    </w:p>
    <w:p w14:paraId="14260275">
      <w:pPr>
        <w:pStyle w:val="4"/>
        <w:keepNext w:val="0"/>
        <w:keepLines w:val="0"/>
        <w:pageBreakBefore w:val="0"/>
        <w:wordWrap/>
        <w:topLinePunct w:val="0"/>
        <w:bidi w:val="0"/>
        <w:spacing w:line="560" w:lineRule="exact"/>
      </w:pPr>
      <w:bookmarkStart w:id="140" w:name="_Toc2031853347"/>
      <w:bookmarkStart w:id="141" w:name="_Toc1249985337"/>
      <w:bookmarkStart w:id="142" w:name="_Toc233272390"/>
      <w:r>
        <w:rPr>
          <w:rFonts w:hint="eastAsia"/>
        </w:rPr>
        <w:t xml:space="preserve">第三节 </w:t>
      </w:r>
      <w:r>
        <w:t>发展特色现代农业，构建乡村振兴产业支撑</w:t>
      </w:r>
      <w:bookmarkEnd w:id="140"/>
      <w:bookmarkEnd w:id="141"/>
      <w:bookmarkEnd w:id="142"/>
    </w:p>
    <w:p w14:paraId="219252D9">
      <w:pPr>
        <w:keepNext w:val="0"/>
        <w:keepLines w:val="0"/>
        <w:pageBreakBefore w:val="0"/>
        <w:wordWrap/>
        <w:topLinePunct w:val="0"/>
        <w:bidi w:val="0"/>
        <w:spacing w:line="560" w:lineRule="exact"/>
        <w:ind w:firstLine="640"/>
      </w:pPr>
      <w:r>
        <w:rPr>
          <w:rFonts w:hint="eastAsia"/>
        </w:rPr>
        <w:t>围绕</w:t>
      </w:r>
      <w:r>
        <w:t>乡村振兴</w:t>
      </w:r>
      <w:r>
        <w:rPr>
          <w:rFonts w:hint="eastAsia"/>
        </w:rPr>
        <w:t>“</w:t>
      </w:r>
      <w:r>
        <w:t>产业兴旺</w:t>
      </w:r>
      <w:r>
        <w:rPr>
          <w:rFonts w:hint="eastAsia"/>
        </w:rPr>
        <w:t>”这一</w:t>
      </w:r>
      <w:r>
        <w:t>核心目标</w:t>
      </w:r>
      <w:r>
        <w:rPr>
          <w:rFonts w:hint="eastAsia"/>
        </w:rPr>
        <w:t>，</w:t>
      </w:r>
      <w:r>
        <w:t>以科技为引领、以品牌为抓手、以融合为路径，推动现代农业高质量发展，打造“一镇一品”产业格局。</w:t>
      </w:r>
    </w:p>
    <w:p w14:paraId="2ECBBB39">
      <w:pPr>
        <w:keepNext w:val="0"/>
        <w:keepLines w:val="0"/>
        <w:pageBreakBefore w:val="0"/>
        <w:wordWrap/>
        <w:topLinePunct w:val="0"/>
        <w:bidi w:val="0"/>
        <w:spacing w:line="560" w:lineRule="exact"/>
        <w:ind w:firstLine="643"/>
      </w:pPr>
      <w:r>
        <w:rPr>
          <w:b/>
          <w:bCs/>
        </w:rPr>
        <w:t>做强优势特色产业集群</w:t>
      </w:r>
      <w:r>
        <w:rPr>
          <w:rFonts w:hint="eastAsia"/>
        </w:rPr>
        <w:t>。</w:t>
      </w:r>
      <w:r>
        <w:t>聚焦“林果、茶叶、中药材、种业”四大优势产业，推动规模化种植、标准化生产、品牌化运营。林果产业，以张夏御杏、</w:t>
      </w:r>
      <w:r>
        <w:rPr>
          <w:rFonts w:hint="eastAsia"/>
        </w:rPr>
        <w:t>五峰</w:t>
      </w:r>
      <w:r>
        <w:t>樱桃为重点，建设30里御杏谷、万亩樱桃园等特色产业基地，推广绿色种植技术，打造“十八里谷道”“长清茶”“张夏优选”等区域品牌；茶叶产业，依托长清茶地理标志，</w:t>
      </w:r>
      <w:r>
        <w:rPr>
          <w:rFonts w:hint="eastAsia"/>
        </w:rPr>
        <w:t>改造提升</w:t>
      </w:r>
      <w:r>
        <w:t>高标准茶园，培育</w:t>
      </w:r>
      <w:r>
        <w:rPr>
          <w:rFonts w:hint="eastAsia"/>
        </w:rPr>
        <w:t>市</w:t>
      </w:r>
      <w:r>
        <w:t>级以上茶叶龙头企业，开发红茶、绿茶、</w:t>
      </w:r>
      <w:r>
        <w:rPr>
          <w:rFonts w:hint="eastAsia"/>
        </w:rPr>
        <w:t>茶饮</w:t>
      </w:r>
      <w:r>
        <w:t>等系列产品，推动长清茶进入高端市场；中药材产业，与山东中医药大学合作，建设万亩标准化道地药材生产基地，重点发展丹参、栝楼、黄芩、菊花等品种，打造“扁鹊故里”中药材品牌；种业，通过举办大型种业展会，提升“中国北方种业之都”的品牌知名度，加强对种业企业的政策扶持，引进和培育一批现代化种业企业，推进</w:t>
      </w:r>
      <w:r>
        <w:rPr>
          <w:rFonts w:hint="eastAsia"/>
        </w:rPr>
        <w:t>杂交小麦</w:t>
      </w:r>
      <w:r>
        <w:t>、植物基因编辑等育种产业化项目建设，到2030年，力争培育突破性优良品种5个以上，打造一批种子繁育村和</w:t>
      </w:r>
      <w:r>
        <w:rPr>
          <w:rFonts w:hint="eastAsia"/>
        </w:rPr>
        <w:t>街道（镇）</w:t>
      </w:r>
      <w:r>
        <w:t>。</w:t>
      </w:r>
    </w:p>
    <w:p w14:paraId="39A28F68">
      <w:pPr>
        <w:keepNext w:val="0"/>
        <w:keepLines w:val="0"/>
        <w:pageBreakBefore w:val="0"/>
        <w:wordWrap/>
        <w:topLinePunct w:val="0"/>
        <w:bidi w:val="0"/>
        <w:spacing w:line="560" w:lineRule="exact"/>
        <w:ind w:firstLine="643"/>
        <w:rPr>
          <w:strike/>
        </w:rPr>
      </w:pPr>
      <w:r>
        <w:rPr>
          <w:b/>
          <w:bCs/>
        </w:rPr>
        <w:t>推动农业数字化转型</w:t>
      </w:r>
      <w:r>
        <w:rPr>
          <w:rFonts w:hint="eastAsia"/>
        </w:rPr>
        <w:t>。实验建立智能农机示范农场，展示喷洒农药无人机、智能联合收割机等设备的作业优势，定期举办现场演示会，邀请农户体验，以实际成效带动智能化农业机械推广。</w:t>
      </w:r>
      <w:r>
        <w:t>抢抓“数字济南”建设机遇，全面推进数字农业、智慧农业发展。生产环节，</w:t>
      </w:r>
      <w:r>
        <w:rPr>
          <w:rFonts w:hint="eastAsia"/>
        </w:rPr>
        <w:t>推进打造</w:t>
      </w:r>
      <w:r>
        <w:t>智慧农业基地，推广物联网、大数据、人工智能等技术</w:t>
      </w:r>
      <w:r>
        <w:rPr>
          <w:rFonts w:hint="eastAsia"/>
        </w:rPr>
        <w:t>，推动茶园向智能灌溉转型，果园应用果实品质检测技术，</w:t>
      </w:r>
      <w:r>
        <w:t>种业基地实现品种选育、种植试验全流程数字化管理</w:t>
      </w:r>
      <w:r>
        <w:rPr>
          <w:rFonts w:hint="eastAsia"/>
        </w:rPr>
        <w:t>，全面推动智能化提升。</w:t>
      </w:r>
      <w:r>
        <w:t>流通环节，整合“长清水、长清果、长清茶”等特色产品，对接京东、淘宝等主流电商平台，</w:t>
      </w:r>
      <w:r>
        <w:rPr>
          <w:rFonts w:hint="eastAsia"/>
        </w:rPr>
        <w:t>推动</w:t>
      </w:r>
      <w:r>
        <w:t>线上销售额</w:t>
      </w:r>
      <w:r>
        <w:rPr>
          <w:rFonts w:hint="eastAsia"/>
        </w:rPr>
        <w:t>明显提升</w:t>
      </w:r>
      <w:r>
        <w:t>。开展农业气候资源普查和农业气候区划，加快人工影响天气工作数字化升级、国产化替代和智慧化转型，提升人工影响天气工作服务农业生产效益。</w:t>
      </w:r>
    </w:p>
    <w:p w14:paraId="001DCD3E">
      <w:pPr>
        <w:keepNext w:val="0"/>
        <w:keepLines w:val="0"/>
        <w:pageBreakBefore w:val="0"/>
        <w:wordWrap/>
        <w:topLinePunct w:val="0"/>
        <w:bidi w:val="0"/>
        <w:spacing w:line="560" w:lineRule="exact"/>
        <w:ind w:firstLine="643"/>
        <w:rPr>
          <w:strike/>
        </w:rPr>
      </w:pPr>
      <w:r>
        <w:rPr>
          <w:b/>
          <w:bCs/>
        </w:rPr>
        <w:t>促进农文旅深度融合</w:t>
      </w:r>
      <w:r>
        <w:rPr>
          <w:rFonts w:hint="eastAsia"/>
        </w:rPr>
        <w:t>。深挖乡村资源优势，讲好乡土故事，促进乡村旅游高质量发展。</w:t>
      </w:r>
      <w:r>
        <w:t>依托灵岩寺、莲台山、黄河廊道等人文自然景观，以及“扁鹊故里”“齐长城”等文化资源，推动农业与旅游、康养、文化产业深度融合</w:t>
      </w:r>
      <w:r>
        <w:rPr>
          <w:rFonts w:hint="eastAsia"/>
        </w:rPr>
        <w:t>，打造泉韵乡居、黄河人家、中医药康养等主题线路，培育一批休闲农业、民宿集群、农耕体验等新业态。</w:t>
      </w:r>
      <w:r>
        <w:t>推进农文旅融合片区化发展</w:t>
      </w:r>
      <w:r>
        <w:rPr>
          <w:rFonts w:hint="eastAsia"/>
        </w:rPr>
        <w:t>，</w:t>
      </w:r>
      <w:r>
        <w:t>结合</w:t>
      </w:r>
      <w:r>
        <w:rPr>
          <w:rFonts w:hint="eastAsia"/>
        </w:rPr>
        <w:t>街道（镇）</w:t>
      </w:r>
      <w:r>
        <w:t>地域特点与产业特色，因地制宜</w:t>
      </w:r>
      <w:r>
        <w:rPr>
          <w:rFonts w:hint="eastAsia"/>
        </w:rPr>
        <w:t>进行区级片区打造，</w:t>
      </w:r>
      <w:r>
        <w:t>按“一镇一片区、一片一主题”原则，打造区级和美乡村示范片区</w:t>
      </w:r>
      <w:r>
        <w:rPr>
          <w:rFonts w:hint="eastAsia"/>
        </w:rPr>
        <w:t>——</w:t>
      </w:r>
      <w:r>
        <w:t>五峰山街道聚焦“中医康养+生态旅游”，整合景区、中医康养体验馆、药用植物观光园，构建五峰山康养文旅片区；归德街道深挖黄河农耕文化，以农耕博物馆、亲子农场、“黄河人家”民宿集群为核心，打造归德黄河农耕文旅片区；双泉镇围绕油菜花观赏、田园采摘，串联乡村旅游节、农家体验项目，形成双泉花海休闲片区。片区内推动业态经营主体联建整合，成立发展联盟、搭建资源共享平台，实现“客源互导、产品互推”。每年选取成熟片区创建市级示范片区，优化人居环境、提升产业能级，打造“干一片、成一片、活一片”样板。</w:t>
      </w:r>
    </w:p>
    <w:tbl>
      <w:tblPr>
        <w:tblStyle w:val="17"/>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9288"/>
      </w:tblGrid>
      <w:tr w14:paraId="598361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288" w:type="dxa"/>
          </w:tcPr>
          <w:p w14:paraId="4E30570E">
            <w:pPr>
              <w:pStyle w:val="5"/>
              <w:keepNext w:val="0"/>
              <w:keepLines w:val="0"/>
              <w:pageBreakBefore w:val="0"/>
              <w:wordWrap/>
              <w:topLinePunct w:val="0"/>
              <w:bidi w:val="0"/>
              <w:spacing w:after="0" w:line="560" w:lineRule="exact"/>
              <w:ind w:firstLine="0" w:firstLineChars="0"/>
              <w:jc w:val="center"/>
              <w:textAlignment w:val="baseline"/>
              <w:rPr>
                <w:rFonts w:ascii="楷体_GB2312" w:hAnsi="楷体_GB2312" w:eastAsia="楷体_GB2312" w:cs="楷体_GB2312"/>
              </w:rPr>
            </w:pPr>
            <w:r>
              <w:rPr>
                <w:rFonts w:hint="eastAsia" w:ascii="黑体" w:hAnsi="黑体" w:eastAsia="黑体" w:cs="黑体"/>
                <w:sz w:val="30"/>
                <w:szCs w:val="30"/>
              </w:rPr>
              <w:t>专栏8  现代农业重点项目</w:t>
            </w:r>
          </w:p>
          <w:p w14:paraId="5C9CBB3B">
            <w:pPr>
              <w:pStyle w:val="5"/>
              <w:keepNext w:val="0"/>
              <w:keepLines w:val="0"/>
              <w:pageBreakBefore w:val="0"/>
              <w:wordWrap/>
              <w:topLinePunct w:val="0"/>
              <w:bidi w:val="0"/>
              <w:spacing w:after="0" w:line="560" w:lineRule="exact"/>
              <w:ind w:firstLine="560"/>
              <w:textAlignment w:val="baseline"/>
            </w:pPr>
            <w:r>
              <w:rPr>
                <w:rFonts w:hint="eastAsia" w:ascii="楷体_GB2312" w:hAnsi="楷体_GB2312" w:eastAsia="楷体_GB2312" w:cs="楷体_GB2312"/>
                <w:sz w:val="28"/>
                <w:szCs w:val="28"/>
              </w:rPr>
              <w:t>长清生态茶苗繁育与有机茶种植加工示范基地项目、马山镇生态环境治理与资源化利用推进乡村振兴EOD项目、清沣樱桃产业示范基地项目、山东迅达康神秀谷产业二期建设项目、五峰片区中草药种植及一二三产联动项目、长清区智慧农业试验示范基地、长清区农事综合服务中心建设项目、济南市长清区农事综合服务中心建设项目</w:t>
            </w:r>
          </w:p>
        </w:tc>
      </w:tr>
    </w:tbl>
    <w:p w14:paraId="55E4C9F4">
      <w:pPr>
        <w:keepNext w:val="0"/>
        <w:keepLines w:val="0"/>
        <w:pageBreakBefore w:val="0"/>
        <w:wordWrap/>
        <w:topLinePunct w:val="0"/>
        <w:bidi w:val="0"/>
        <w:spacing w:line="560" w:lineRule="exact"/>
        <w:ind w:firstLine="0" w:firstLineChars="0"/>
      </w:pPr>
    </w:p>
    <w:p w14:paraId="42C2AEC4">
      <w:pPr>
        <w:pStyle w:val="3"/>
        <w:keepNext w:val="0"/>
        <w:keepLines w:val="0"/>
        <w:pageBreakBefore w:val="0"/>
        <w:wordWrap/>
        <w:topLinePunct w:val="0"/>
        <w:bidi w:val="0"/>
        <w:spacing w:line="560" w:lineRule="exact"/>
      </w:pPr>
      <w:bookmarkStart w:id="143" w:name="_Toc1162189383"/>
      <w:bookmarkStart w:id="144" w:name="_Toc233272391"/>
      <w:bookmarkStart w:id="145" w:name="_Toc2132665839"/>
      <w:bookmarkStart w:id="146" w:name="_Toc406428437"/>
      <w:r>
        <w:rPr>
          <w:rFonts w:hint="eastAsia"/>
        </w:rPr>
        <w:t>第九章  全面推动绿色低碳转型，打造生态文明建设示范区</w:t>
      </w:r>
      <w:bookmarkEnd w:id="143"/>
      <w:bookmarkEnd w:id="144"/>
      <w:bookmarkEnd w:id="145"/>
      <w:bookmarkEnd w:id="146"/>
    </w:p>
    <w:p w14:paraId="4B659649">
      <w:pPr>
        <w:pStyle w:val="15"/>
        <w:keepNext w:val="0"/>
        <w:keepLines w:val="0"/>
        <w:pageBreakBefore w:val="0"/>
        <w:wordWrap/>
        <w:topLinePunct w:val="0"/>
        <w:bidi w:val="0"/>
        <w:spacing w:line="560" w:lineRule="exact"/>
        <w:ind w:firstLine="640"/>
      </w:pPr>
    </w:p>
    <w:p w14:paraId="79BCE545">
      <w:pPr>
        <w:keepNext w:val="0"/>
        <w:keepLines w:val="0"/>
        <w:pageBreakBefore w:val="0"/>
        <w:wordWrap/>
        <w:topLinePunct w:val="0"/>
        <w:bidi w:val="0"/>
        <w:spacing w:line="560" w:lineRule="exact"/>
        <w:ind w:firstLine="640"/>
      </w:pPr>
      <w:r>
        <w:rPr>
          <w:rFonts w:hint="eastAsia"/>
        </w:rPr>
        <w:t>牢固树立和践行绿水青山就是金山银山理念，坚持生态优先、绿色发展，协同推进降碳、减污、扩绿、增长，筑牢生态安全屏障，增强绿色发展动能，着力建设人与自然和谐共生、生态宜居省会后花园。</w:t>
      </w:r>
      <w:r>
        <w:t>​</w:t>
      </w:r>
    </w:p>
    <w:p w14:paraId="6A0548CA">
      <w:pPr>
        <w:pStyle w:val="4"/>
        <w:keepNext w:val="0"/>
        <w:keepLines w:val="0"/>
        <w:pageBreakBefore w:val="0"/>
        <w:wordWrap/>
        <w:topLinePunct w:val="0"/>
        <w:bidi w:val="0"/>
        <w:spacing w:line="560" w:lineRule="exact"/>
      </w:pPr>
      <w:bookmarkStart w:id="147" w:name="_Toc334672030"/>
      <w:bookmarkStart w:id="148" w:name="_Toc783371875"/>
      <w:bookmarkStart w:id="149" w:name="_Toc233272392"/>
      <w:r>
        <w:t>第一节</w:t>
      </w:r>
      <w:r>
        <w:rPr>
          <w:rFonts w:hint="eastAsia"/>
        </w:rPr>
        <w:t xml:space="preserve">  </w:t>
      </w:r>
      <w:r>
        <w:t>筑牢生态安全屏障</w:t>
      </w:r>
      <w:r>
        <w:rPr>
          <w:rFonts w:hint="eastAsia"/>
        </w:rPr>
        <w:t>，</w:t>
      </w:r>
      <w:r>
        <w:t>夯实绿色发展根基</w:t>
      </w:r>
      <w:bookmarkEnd w:id="147"/>
      <w:bookmarkEnd w:id="148"/>
      <w:bookmarkEnd w:id="149"/>
    </w:p>
    <w:p w14:paraId="5C63EE47">
      <w:pPr>
        <w:keepNext w:val="0"/>
        <w:keepLines w:val="0"/>
        <w:pageBreakBefore w:val="0"/>
        <w:wordWrap/>
        <w:topLinePunct w:val="0"/>
        <w:bidi w:val="0"/>
        <w:spacing w:line="560" w:lineRule="exact"/>
        <w:ind w:firstLine="643"/>
      </w:pPr>
      <w:r>
        <w:rPr>
          <w:b/>
          <w:bCs/>
        </w:rPr>
        <w:t>坚决打好蓝天保卫战</w:t>
      </w:r>
      <w:r>
        <w:t>。持续改善空气质量，以细颗粒物（PM2.5）和臭氧（O</w:t>
      </w:r>
      <w:r>
        <w:rPr>
          <w:vertAlign w:val="subscript"/>
        </w:rPr>
        <w:t>3</w:t>
      </w:r>
      <w:r>
        <w:t>）协同防治为核心，强化多污染源综合管控</w:t>
      </w:r>
      <w:r>
        <w:rPr>
          <w:rFonts w:hint="eastAsia"/>
        </w:rPr>
        <w:t>。</w:t>
      </w:r>
      <w:r>
        <w:t>严格控制新增高耗能、高污染项目，推动传统产业绿色改造；移动源方面，加快新能源汽车推广，优化货运交通结构；加强建筑施工扬尘监管与餐饮油烟治理，推动能源与交通领域绿色转型。同时，优化产业结构，逐步降低高耗能产业占比，提升清洁能源使用效率。到2030年，力争长清区优良天数比例</w:t>
      </w:r>
      <w:r>
        <w:rPr>
          <w:rFonts w:hint="eastAsia"/>
        </w:rPr>
        <w:t>进一步提升</w:t>
      </w:r>
      <w:r>
        <w:t>，细颗粒物（PM2.5）年均浓度</w:t>
      </w:r>
      <w:r>
        <w:rPr>
          <w:rFonts w:hint="eastAsia"/>
        </w:rPr>
        <w:t>稳中有降</w:t>
      </w:r>
      <w:r>
        <w:t>，让群众尽享“长清蓝”。​</w:t>
      </w:r>
    </w:p>
    <w:p w14:paraId="10875B8E">
      <w:pPr>
        <w:keepNext w:val="0"/>
        <w:keepLines w:val="0"/>
        <w:pageBreakBefore w:val="0"/>
        <w:wordWrap/>
        <w:topLinePunct w:val="0"/>
        <w:bidi w:val="0"/>
        <w:spacing w:line="560" w:lineRule="exact"/>
        <w:ind w:firstLine="643"/>
      </w:pPr>
      <w:r>
        <w:rPr>
          <w:b/>
          <w:bCs/>
        </w:rPr>
        <w:t>着力打好碧水攻坚战</w:t>
      </w:r>
      <w:r>
        <w:t>。守护流域水环境安全，以黄河流域生态保护为重点，深化水生态治理与修复</w:t>
      </w:r>
      <w:r>
        <w:rPr>
          <w:rFonts w:hint="eastAsia"/>
        </w:rPr>
        <w:t>。</w:t>
      </w:r>
      <w:r>
        <w:t>加强城镇污水处理设施监管，推动污水处理厂稳定运行，完成全流域入河排污口排查与整治</w:t>
      </w:r>
      <w:r>
        <w:rPr>
          <w:rFonts w:hint="eastAsia"/>
        </w:rPr>
        <w:t>。</w:t>
      </w:r>
      <w:r>
        <w:t>推进重点流域生态修复工程，确保南大沙河生态修复工程建成见效，西区污水处理厂尾水湿地稳定发挥净化功能，实施北大沙河省级EOD项目，通过水系综合治理与海绵城市示范工程，提升流域水生态韧性。到2030年，北大沙河流域水环境质量显著改善，入黄河口断面水质稳定达标，构建“河畅、水清、岸绿、景美”的流域生态画卷。​</w:t>
      </w:r>
    </w:p>
    <w:p w14:paraId="228C5C3D">
      <w:pPr>
        <w:keepNext w:val="0"/>
        <w:keepLines w:val="0"/>
        <w:pageBreakBefore w:val="0"/>
        <w:wordWrap/>
        <w:topLinePunct w:val="0"/>
        <w:bidi w:val="0"/>
        <w:spacing w:line="560" w:lineRule="exact"/>
        <w:ind w:firstLine="643"/>
      </w:pPr>
      <w:r>
        <w:rPr>
          <w:b/>
          <w:bCs/>
        </w:rPr>
        <w:t>扎实推进净土保卫战</w:t>
      </w:r>
      <w:r>
        <w:t>。保障土壤环境安全，加强土壤污染源头防控，以用途变更为住宅、公共管理与公共服务用地的地块为重点，严格开展土壤污染状况调查与风险评估，杜绝违规开发利用；动态更新土壤污染重点监管单位名录，督促企业落实自行监测、风险防控等土壤污染防治义务。加强农业生态环境保护，实施农田保护性耕作技术，推进盐碱地、瘠薄地治理改良，提升耕地质量；加大农业面源污染治理力度，推广绿色防控技术与有机种植模式，减少化学农药与化肥使用量，在水土流失地区和重要饮用水源地开展生态综合整治，建设生态友好型农业生产区。到2030年，全区土壤环境质量稳定改善，生态环境风险有效降低，人民群众生态环境获得感持续提升。​</w:t>
      </w:r>
    </w:p>
    <w:p w14:paraId="107277CD">
      <w:pPr>
        <w:keepNext w:val="0"/>
        <w:keepLines w:val="0"/>
        <w:pageBreakBefore w:val="0"/>
        <w:wordWrap/>
        <w:topLinePunct w:val="0"/>
        <w:bidi w:val="0"/>
        <w:spacing w:line="560" w:lineRule="exact"/>
        <w:ind w:firstLine="643"/>
      </w:pPr>
      <w:r>
        <w:rPr>
          <w:b/>
          <w:bCs/>
        </w:rPr>
        <w:t>完善生态保护体系</w:t>
      </w:r>
      <w:r>
        <w:t>。</w:t>
      </w:r>
      <w:r>
        <w:rPr>
          <w:rFonts w:hint="eastAsia"/>
        </w:rPr>
        <w:t>加强自然保护地建设，</w:t>
      </w:r>
      <w:r>
        <w:t>加快整合优化，推进基础设施建设，提升保护地管理水平，建立以济南张夏</w:t>
      </w:r>
      <w:r>
        <w:rPr>
          <w:rFonts w:hint="eastAsia"/>
        </w:rPr>
        <w:t>-</w:t>
      </w:r>
      <w:r>
        <w:t>崮山华北寒武系标准剖面地方级地质遗迹自然保护区、大峰山地方级自然保护区为基础，以济西国家湿地公园、五峰山地方级森林公园和泰山风景名胜区灵岩寺景区为补充的自然保护地体系</w:t>
      </w:r>
      <w:r>
        <w:rPr>
          <w:rFonts w:hint="eastAsia"/>
        </w:rPr>
        <w:t>。加强</w:t>
      </w:r>
      <w:r>
        <w:t>生物多样性保护，科学防控美国白蛾等林业有害生物，严防松材线虫病传入，加大野生动植物、古树名木与林木种质资源保护力度，建立联动巡查机制，严厉打击破坏行为</w:t>
      </w:r>
      <w:r>
        <w:rPr>
          <w:rFonts w:hint="eastAsia"/>
        </w:rPr>
        <w:t>。加强</w:t>
      </w:r>
      <w:r>
        <w:t>造林绿化，科学实施森林质量提升和山体绿化、廊道绿化、城区绿化、乡村绿化，持续推进国土绿化扩绿、提质，不断增强森林生态系统功能和生态产品供给能力</w:t>
      </w:r>
      <w:r>
        <w:rPr>
          <w:rFonts w:hint="eastAsia"/>
        </w:rPr>
        <w:t>。加强</w:t>
      </w:r>
      <w:r>
        <w:t>生态资源管理，深化林长制工作，构建“各级林长+民间林长+志愿者”协同治理体系，创新“林长制+”模式，健全完善森林等生态资源保护发展的长效机制</w:t>
      </w:r>
      <w:r>
        <w:rPr>
          <w:rFonts w:hint="eastAsia"/>
        </w:rPr>
        <w:t>。加强</w:t>
      </w:r>
      <w:r>
        <w:t>森林防火体系</w:t>
      </w:r>
      <w:r>
        <w:rPr>
          <w:rFonts w:hint="eastAsia"/>
        </w:rPr>
        <w:t>建设</w:t>
      </w:r>
      <w:r>
        <w:t>，完善林火阻隔、防火道路等基础设施，提升森林防火能力。到</w:t>
      </w:r>
      <w:r>
        <w:rPr>
          <w:rFonts w:hint="eastAsia"/>
        </w:rPr>
        <w:t>2030年</w:t>
      </w:r>
      <w:r>
        <w:t>，生态系统稳定性与服务功能显著增强。</w:t>
      </w:r>
    </w:p>
    <w:p w14:paraId="00F19CCD">
      <w:pPr>
        <w:keepNext w:val="0"/>
        <w:keepLines w:val="0"/>
        <w:pageBreakBefore w:val="0"/>
        <w:wordWrap/>
        <w:topLinePunct w:val="0"/>
        <w:bidi w:val="0"/>
        <w:spacing w:line="560" w:lineRule="exact"/>
        <w:ind w:firstLine="643"/>
      </w:pPr>
      <w:r>
        <w:rPr>
          <w:b/>
          <w:bCs/>
        </w:rPr>
        <w:t>推动生态价值转化</w:t>
      </w:r>
      <w:r>
        <w:rPr>
          <w:rFonts w:hint="eastAsia"/>
        </w:rPr>
        <w:t>。依托</w:t>
      </w:r>
      <w:r>
        <w:t>长清区“山水长清”生态</w:t>
      </w:r>
      <w:r>
        <w:rPr>
          <w:rFonts w:hint="eastAsia"/>
        </w:rPr>
        <w:t>禀赋</w:t>
      </w:r>
      <w:r>
        <w:t>，推动生态资源向经济价值转化</w:t>
      </w:r>
      <w:r>
        <w:rPr>
          <w:rFonts w:hint="eastAsia"/>
        </w:rPr>
        <w:t>。发展</w:t>
      </w:r>
      <w:r>
        <w:t>生态旅游，结合黄河流域生态保护与康养旅游定位，打造济南黄河生态风貌带，开发生态观光、康养度假等旅游产品，建设承接康养旅游的省会后花园；</w:t>
      </w:r>
      <w:r>
        <w:rPr>
          <w:rFonts w:hint="eastAsia"/>
        </w:rPr>
        <w:t>发展</w:t>
      </w:r>
      <w:r>
        <w:t>循环产业，推进马山镇EOD生态环境项目，构建“生态保护—产业发展—乡村振兴”协同路径；引入社会资本参与矿山生态修复与后续产业开发，</w:t>
      </w:r>
      <w:r>
        <w:rPr>
          <w:rFonts w:hint="eastAsia"/>
        </w:rPr>
        <w:t>探索利用废弃矿坑改造发展攀岩、滑板等体育场所路径，</w:t>
      </w:r>
      <w:r>
        <w:t>变“废弃地”为“增值地”，实现生态修复与产业发展双赢。</w:t>
      </w:r>
    </w:p>
    <w:p w14:paraId="7E5CDD33">
      <w:pPr>
        <w:pStyle w:val="4"/>
        <w:keepNext w:val="0"/>
        <w:keepLines w:val="0"/>
        <w:pageBreakBefore w:val="0"/>
        <w:wordWrap/>
        <w:topLinePunct w:val="0"/>
        <w:bidi w:val="0"/>
        <w:spacing w:line="560" w:lineRule="exact"/>
      </w:pPr>
      <w:bookmarkStart w:id="150" w:name="_Toc233272393"/>
      <w:bookmarkStart w:id="151" w:name="_Toc1689835329"/>
      <w:bookmarkStart w:id="152" w:name="_Toc145548501"/>
      <w:r>
        <w:t>第二节</w:t>
      </w:r>
      <w:r>
        <w:rPr>
          <w:rFonts w:hint="eastAsia"/>
        </w:rPr>
        <w:t xml:space="preserve">  </w:t>
      </w:r>
      <w:r>
        <w:t>聚焦关键领域转型</w:t>
      </w:r>
      <w:r>
        <w:rPr>
          <w:rFonts w:hint="eastAsia"/>
        </w:rPr>
        <w:t>，</w:t>
      </w:r>
      <w:r>
        <w:t>构建低碳发展体系​</w:t>
      </w:r>
      <w:bookmarkEnd w:id="150"/>
      <w:bookmarkEnd w:id="151"/>
      <w:bookmarkEnd w:id="152"/>
    </w:p>
    <w:p w14:paraId="6E51EB1C">
      <w:pPr>
        <w:keepNext w:val="0"/>
        <w:keepLines w:val="0"/>
        <w:pageBreakBefore w:val="0"/>
        <w:wordWrap/>
        <w:topLinePunct w:val="0"/>
        <w:bidi w:val="0"/>
        <w:spacing w:line="560" w:lineRule="exact"/>
        <w:ind w:firstLine="643"/>
      </w:pPr>
      <w:r>
        <w:rPr>
          <w:b/>
          <w:bCs/>
        </w:rPr>
        <w:t>构建新型能源体系</w:t>
      </w:r>
      <w:r>
        <w:t>。以非化石能源规模化应用为重点，持续调整能源利用结构</w:t>
      </w:r>
      <w:r>
        <w:rPr>
          <w:rFonts w:hint="eastAsia"/>
        </w:rPr>
        <w:t>。</w:t>
      </w:r>
      <w:r>
        <w:t>引导企业增加绿电消费，推动太阳能、氢能等可再生能源在工业、农业、建筑领域的规模化应用；因地制宜发展生物质能，利用农业废弃物转化清洁能源；科学布局抽水蓄能与新型储能设施，提升能源供应稳定性与调峰能力。强化公共机构节能引领，严格执行政府绿色采购标准，推行电子化办公，引领全社会节能降碳。​</w:t>
      </w:r>
    </w:p>
    <w:p w14:paraId="51FB0A8D">
      <w:pPr>
        <w:keepNext w:val="0"/>
        <w:keepLines w:val="0"/>
        <w:pageBreakBefore w:val="0"/>
        <w:wordWrap/>
        <w:topLinePunct w:val="0"/>
        <w:bidi w:val="0"/>
        <w:spacing w:line="560" w:lineRule="exact"/>
        <w:ind w:firstLine="643"/>
      </w:pPr>
      <w:r>
        <w:rPr>
          <w:b/>
          <w:bCs/>
        </w:rPr>
        <w:t>推</w:t>
      </w:r>
      <w:r>
        <w:rPr>
          <w:rFonts w:hint="eastAsia"/>
          <w:b/>
          <w:bCs/>
        </w:rPr>
        <w:t>动</w:t>
      </w:r>
      <w:r>
        <w:rPr>
          <w:b/>
          <w:bCs/>
        </w:rPr>
        <w:t>绿建装配</w:t>
      </w:r>
      <w:r>
        <w:rPr>
          <w:rFonts w:hint="eastAsia"/>
          <w:b/>
          <w:bCs/>
        </w:rPr>
        <w:t>发展</w:t>
      </w:r>
      <w:r>
        <w:t>。以绿色建筑与装配式建筑为核心，提升建筑领域低碳水平</w:t>
      </w:r>
      <w:r>
        <w:rPr>
          <w:rFonts w:hint="eastAsia"/>
        </w:rPr>
        <w:t>。</w:t>
      </w:r>
      <w:r>
        <w:t>政府投资或主导的公共建筑及大型公共建筑按二星级及以上绿色建筑标准建设，其他公共建筑按一星级以上标准建设，到2030年城镇新建民用建筑绿色建筑占比达到100%；</w:t>
      </w:r>
      <w:r>
        <w:rPr>
          <w:rFonts w:hint="eastAsia"/>
        </w:rPr>
        <w:t>推进</w:t>
      </w:r>
      <w:r>
        <w:t>装配式建筑发展，在学校、医院等政府投资项目中全面采用装配式建造，到2030年新开工装配式建筑占新建建筑比例不低于50%。​</w:t>
      </w:r>
    </w:p>
    <w:p w14:paraId="5AA30C32">
      <w:pPr>
        <w:keepNext w:val="0"/>
        <w:keepLines w:val="0"/>
        <w:pageBreakBefore w:val="0"/>
        <w:wordWrap/>
        <w:topLinePunct w:val="0"/>
        <w:bidi w:val="0"/>
        <w:spacing w:line="560" w:lineRule="exact"/>
        <w:ind w:firstLine="643"/>
      </w:pPr>
      <w:r>
        <w:rPr>
          <w:b/>
          <w:bCs/>
        </w:rPr>
        <w:t>推进农业低碳转型</w:t>
      </w:r>
      <w:r>
        <w:t>。以现代农业园区为抓手，探索农业低碳发展路径</w:t>
      </w:r>
      <w:r>
        <w:rPr>
          <w:rFonts w:hint="eastAsia"/>
        </w:rPr>
        <w:t>。加强</w:t>
      </w:r>
      <w:r>
        <w:t>技术应用，推广秸秆还田、饲料化、能源化技术，确保秸秆综合利用率保持在99%以上，推动畜禽粪污资源化处理，构建“种养结合”生态农业模式，实现农业废弃物向饲料、有机肥、新能源转化；</w:t>
      </w:r>
      <w:r>
        <w:rPr>
          <w:rFonts w:hint="eastAsia"/>
        </w:rPr>
        <w:t>加强</w:t>
      </w:r>
      <w:r>
        <w:t>园区建设，推进循环农业、智慧农业集成应用，推广清洁能源在农业生产中的使用；</w:t>
      </w:r>
      <w:r>
        <w:rPr>
          <w:rFonts w:hint="eastAsia"/>
        </w:rPr>
        <w:t>加强</w:t>
      </w:r>
      <w:r>
        <w:t>品牌培育，加强“三品一标”认证，培育绿色、有机农产品品牌，提升农业绿色附加值，实现农业发展与生态保护协同推进。​</w:t>
      </w:r>
    </w:p>
    <w:p w14:paraId="41431F53">
      <w:pPr>
        <w:keepNext w:val="0"/>
        <w:keepLines w:val="0"/>
        <w:pageBreakBefore w:val="0"/>
        <w:wordWrap/>
        <w:topLinePunct w:val="0"/>
        <w:bidi w:val="0"/>
        <w:spacing w:line="560" w:lineRule="exact"/>
        <w:ind w:firstLine="643"/>
      </w:pPr>
      <w:r>
        <w:rPr>
          <w:b/>
          <w:bCs/>
        </w:rPr>
        <w:t>深化城乡生活低碳变革</w:t>
      </w:r>
      <w:r>
        <w:t>。以垃圾分类与城市绿化为重点，推动生活领域绿色转型</w:t>
      </w:r>
      <w:r>
        <w:rPr>
          <w:rFonts w:hint="eastAsia"/>
        </w:rPr>
        <w:t>。推动</w:t>
      </w:r>
      <w:r>
        <w:t>垃圾分类，引导居民形成垃圾分类习惯</w:t>
      </w:r>
      <w:r>
        <w:rPr>
          <w:rFonts w:hint="eastAsia"/>
        </w:rPr>
        <w:t>；</w:t>
      </w:r>
      <w:r>
        <w:t>建立城乡生活垃圾分类长效管理机制，</w:t>
      </w:r>
      <w:r>
        <w:rPr>
          <w:rFonts w:hint="eastAsia"/>
        </w:rPr>
        <w:t>构建以“市场化+政府引导”的推进方式，加快济南市10万吨/年生活垃圾焚烧飞灰无害化处置资源化利用项目进展，</w:t>
      </w:r>
      <w:r>
        <w:t>确保生活垃圾收集率与无害化处理率保持100%；</w:t>
      </w:r>
      <w:r>
        <w:rPr>
          <w:rFonts w:hint="eastAsia"/>
        </w:rPr>
        <w:t>加强</w:t>
      </w:r>
      <w:r>
        <w:t>城市绿化，优化绿地均衡布局，加大公园建设力度，提高公园服务半径覆盖率，完善生态休闲绿道网络，串联城市绿色空间，推进“共建花园”“园林驿站”建设，培育园林式居住区（单位），因地制宜开放公园绿地，打造市民可参与、可感知的绿色场景；</w:t>
      </w:r>
      <w:r>
        <w:rPr>
          <w:rFonts w:hint="eastAsia"/>
        </w:rPr>
        <w:t>加强</w:t>
      </w:r>
      <w:r>
        <w:t>低碳宣传，开展绿色出行、绿色消费等主题活动，倡导简约适度、绿色低碳的生活方式，让低碳理念融入居民日常生活。​</w:t>
      </w:r>
    </w:p>
    <w:p w14:paraId="353FD0C1">
      <w:pPr>
        <w:keepNext w:val="0"/>
        <w:keepLines w:val="0"/>
        <w:pageBreakBefore w:val="0"/>
        <w:wordWrap/>
        <w:topLinePunct w:val="0"/>
        <w:bidi w:val="0"/>
        <w:spacing w:line="560" w:lineRule="exact"/>
        <w:ind w:firstLine="640"/>
        <w:rPr>
          <w:rFonts w:ascii="黑体" w:hAnsi="黑体" w:eastAsia="黑体" w:cs="黑体"/>
          <w:szCs w:val="22"/>
        </w:rPr>
      </w:pPr>
      <w:r>
        <w:rPr>
          <w:rFonts w:hint="eastAsia" w:ascii="黑体" w:hAnsi="黑体" w:eastAsia="黑体" w:cs="黑体"/>
          <w:szCs w:val="22"/>
        </w:rPr>
        <w:br w:type="page"/>
      </w:r>
    </w:p>
    <w:p w14:paraId="6BBBDC45">
      <w:pPr>
        <w:pStyle w:val="3"/>
        <w:keepNext w:val="0"/>
        <w:keepLines w:val="0"/>
        <w:pageBreakBefore w:val="0"/>
        <w:wordWrap/>
        <w:topLinePunct w:val="0"/>
        <w:bidi w:val="0"/>
        <w:spacing w:line="560" w:lineRule="exact"/>
        <w:rPr>
          <w:rFonts w:hint="eastAsia"/>
        </w:rPr>
      </w:pPr>
      <w:bookmarkStart w:id="153" w:name="_Toc1860788406"/>
      <w:bookmarkStart w:id="154" w:name="_Toc1673129659"/>
      <w:bookmarkStart w:id="155" w:name="_Toc1897099754"/>
    </w:p>
    <w:p w14:paraId="2E1AE66C">
      <w:pPr>
        <w:pStyle w:val="3"/>
        <w:keepNext w:val="0"/>
        <w:keepLines w:val="0"/>
        <w:pageBreakBefore w:val="0"/>
        <w:wordWrap/>
        <w:topLinePunct w:val="0"/>
        <w:bidi w:val="0"/>
        <w:spacing w:line="560" w:lineRule="exact"/>
      </w:pPr>
      <w:bookmarkStart w:id="156" w:name="_Toc233272394"/>
      <w:r>
        <w:rPr>
          <w:rFonts w:hint="eastAsia"/>
        </w:rPr>
        <w:t>第十章  高质量推进文化建设，打造黄河流域文旅融合高地</w:t>
      </w:r>
      <w:bookmarkEnd w:id="153"/>
      <w:bookmarkEnd w:id="154"/>
      <w:bookmarkEnd w:id="155"/>
      <w:bookmarkEnd w:id="156"/>
    </w:p>
    <w:p w14:paraId="14A64808">
      <w:pPr>
        <w:pStyle w:val="15"/>
        <w:keepNext w:val="0"/>
        <w:keepLines w:val="0"/>
        <w:pageBreakBefore w:val="0"/>
        <w:wordWrap/>
        <w:topLinePunct w:val="0"/>
        <w:bidi w:val="0"/>
        <w:spacing w:line="560" w:lineRule="exact"/>
        <w:ind w:firstLine="640"/>
      </w:pPr>
    </w:p>
    <w:p w14:paraId="39037678">
      <w:pPr>
        <w:keepNext w:val="0"/>
        <w:keepLines w:val="0"/>
        <w:pageBreakBefore w:val="0"/>
        <w:wordWrap/>
        <w:topLinePunct w:val="0"/>
        <w:bidi w:val="0"/>
        <w:spacing w:line="560" w:lineRule="exact"/>
        <w:ind w:firstLine="640"/>
      </w:pPr>
      <w:r>
        <w:rPr>
          <w:rFonts w:hint="eastAsia"/>
        </w:rPr>
        <w:t>深入践行社会主义核心价值观，以社会主义先进文化为引领，以文化创新为动力，深化中华优秀传统文化创造性转化、创新性发展，推动文旅康养深度融合，建设底蕴深厚、富有活力的文化长清。</w:t>
      </w:r>
    </w:p>
    <w:p w14:paraId="3BDA1A14">
      <w:pPr>
        <w:pStyle w:val="4"/>
        <w:keepNext w:val="0"/>
        <w:keepLines w:val="0"/>
        <w:pageBreakBefore w:val="0"/>
        <w:wordWrap/>
        <w:topLinePunct w:val="0"/>
        <w:bidi w:val="0"/>
        <w:spacing w:line="560" w:lineRule="exact"/>
      </w:pPr>
      <w:bookmarkStart w:id="157" w:name="_Toc108296320"/>
      <w:bookmarkStart w:id="158" w:name="_Toc598269756"/>
      <w:bookmarkStart w:id="159" w:name="_Toc233272395"/>
      <w:r>
        <w:rPr>
          <w:rFonts w:hint="eastAsia"/>
        </w:rPr>
        <w:t>第一节 筑牢思想根基，引领文化发展方向</w:t>
      </w:r>
      <w:bookmarkEnd w:id="157"/>
      <w:bookmarkEnd w:id="158"/>
      <w:bookmarkEnd w:id="159"/>
    </w:p>
    <w:p w14:paraId="1B9C6B9F">
      <w:pPr>
        <w:keepNext w:val="0"/>
        <w:keepLines w:val="0"/>
        <w:pageBreakBefore w:val="0"/>
        <w:wordWrap/>
        <w:topLinePunct w:val="0"/>
        <w:bidi w:val="0"/>
        <w:spacing w:line="560" w:lineRule="exact"/>
        <w:ind w:firstLine="643"/>
      </w:pPr>
      <w:r>
        <w:rPr>
          <w:rFonts w:hint="eastAsia"/>
          <w:b/>
          <w:bCs/>
        </w:rPr>
        <w:t>强化理论武装与传播</w:t>
      </w:r>
      <w:r>
        <w:rPr>
          <w:rFonts w:hint="eastAsia"/>
        </w:rPr>
        <w:t>。坚持以习近平新时代中国特色社会主义思想为指导，把学习党的创新理论作为首要政治任务。建立常态化、多层次的理论学习机制，组织党员干部深入学习党的创新理论，通过专题培训、研讨交流、实地调研等形式，提高党员干部的政治素养和理论水平。充分发挥区委党校的主阵地作用，开发具有长清特色的理论课程，打造一批精品教学案例。同时，利用新媒体平台，开设线上理论学习专栏，制作通俗易懂的理论宣传短视频，扩大理论传播的覆盖面和影响力，推动党的创新理论进机关、进企业、进农村、进校园、进社区，让党的创新理论“飞入寻常百姓家”。</w:t>
      </w:r>
    </w:p>
    <w:p w14:paraId="2065AF46">
      <w:pPr>
        <w:keepNext w:val="0"/>
        <w:keepLines w:val="0"/>
        <w:pageBreakBefore w:val="0"/>
        <w:wordWrap/>
        <w:topLinePunct w:val="0"/>
        <w:bidi w:val="0"/>
        <w:spacing w:line="560" w:lineRule="exact"/>
        <w:ind w:firstLine="643"/>
      </w:pPr>
      <w:r>
        <w:rPr>
          <w:rFonts w:hint="eastAsia"/>
          <w:b/>
          <w:bCs/>
        </w:rPr>
        <w:t>加强意识形态工作</w:t>
      </w:r>
      <w:r>
        <w:rPr>
          <w:rFonts w:hint="eastAsia"/>
        </w:rPr>
        <w:t>。严格落实意识形态工作责任制，建立健全意识形态风险防控体系。加强对各类意识形态阵地的管理，规范新闻媒体、网络平台、文艺作品等的传播内容，确保意识形态领域安全。加强舆情监测与应对，建立快速反应机制，及时发现和处置负面舆情，营造积极健康的舆论环境。强化网络空间治理，打击网络谣言和不良信息，维护网络空间清朗。加强对青少年的思想政治教育，将社会主义核心价值观融入学校教育全过程，培养有理想、有道德、有文化、有纪律的时代新人。</w:t>
      </w:r>
    </w:p>
    <w:p w14:paraId="4999F6B8">
      <w:pPr>
        <w:keepNext w:val="0"/>
        <w:keepLines w:val="0"/>
        <w:pageBreakBefore w:val="0"/>
        <w:tabs>
          <w:tab w:val="center" w:pos="4536"/>
        </w:tabs>
        <w:wordWrap/>
        <w:topLinePunct w:val="0"/>
        <w:bidi w:val="0"/>
        <w:spacing w:line="560" w:lineRule="exact"/>
        <w:ind w:firstLine="643"/>
      </w:pPr>
      <w:r>
        <w:rPr>
          <w:rFonts w:hint="eastAsia"/>
          <w:b/>
          <w:bCs/>
        </w:rPr>
        <w:t>推动文化价值体系建设</w:t>
      </w:r>
      <w:r>
        <w:rPr>
          <w:rFonts w:hint="eastAsia"/>
        </w:rPr>
        <w:t>。以社会主义核心价值观为引领，深入挖掘长清区的历史文化、红色文化、民俗文化等资源，提炼具有时代特色和地域特征的文化价值观念。通过开展道德模范评选、文明家庭创建、志愿服务等活动，弘扬传统美德，培育文明新风尚。加强诚信建设，建立健全社会信用体系，营造诚实守信的社会氛围。推动文化价值体系与经济社会发展深度融合，将文化价值理念贯穿于城市建设、产业发展、社会治理等各个领域，为长清区的高质量发展提供精神支撑。</w:t>
      </w:r>
    </w:p>
    <w:p w14:paraId="2FDD64ED">
      <w:pPr>
        <w:pStyle w:val="15"/>
        <w:keepNext w:val="0"/>
        <w:keepLines w:val="0"/>
        <w:pageBreakBefore w:val="0"/>
        <w:wordWrap/>
        <w:topLinePunct w:val="0"/>
        <w:bidi w:val="0"/>
        <w:spacing w:line="560" w:lineRule="exact"/>
        <w:ind w:firstLine="643"/>
        <w:rPr>
          <w:rFonts w:hint="eastAsia"/>
        </w:rPr>
      </w:pPr>
      <w:r>
        <w:rPr>
          <w:rFonts w:hint="eastAsia"/>
          <w:b/>
          <w:bCs/>
        </w:rPr>
        <w:t>提高文化传播能力活力。</w:t>
      </w:r>
      <w:r>
        <w:rPr>
          <w:rFonts w:hint="eastAsia"/>
        </w:rPr>
        <w:t>支持演播厅、采编设备与制播系统迭代升级，建设覆盖广泛、功能集成的区域核心客户端，深化内容创新与话语体系转型，着力打造具有区域特色的全媒体传播矩阵。建立重大政策常态化解读与重大主题宣传、活动报道联动机制，增强信息发布的权威性、时效性与传播力，提升舆论引导的精准度与社会影响力。创新融媒体管理运营机制，推动组织架构优化与流程再造，实施“融媒体英才”培育计划，加强全媒体人才队伍建设，激发内容生产活力与机构内生动力，构建符合新时代传播格局的现代化融媒体系。</w:t>
      </w:r>
    </w:p>
    <w:p w14:paraId="12C03A8A">
      <w:pPr>
        <w:keepNext w:val="0"/>
        <w:keepLines w:val="0"/>
        <w:pageBreakBefore w:val="0"/>
        <w:wordWrap/>
        <w:topLinePunct w:val="0"/>
        <w:bidi w:val="0"/>
        <w:spacing w:line="560" w:lineRule="exact"/>
        <w:ind w:firstLine="640"/>
      </w:pPr>
    </w:p>
    <w:p w14:paraId="2C3E98C3">
      <w:pPr>
        <w:pStyle w:val="4"/>
        <w:keepNext w:val="0"/>
        <w:keepLines w:val="0"/>
        <w:pageBreakBefore w:val="0"/>
        <w:wordWrap/>
        <w:topLinePunct w:val="0"/>
        <w:bidi w:val="0"/>
        <w:spacing w:line="560" w:lineRule="exact"/>
      </w:pPr>
      <w:bookmarkStart w:id="160" w:name="_Toc659811628"/>
      <w:bookmarkStart w:id="161" w:name="_Toc233272396"/>
      <w:bookmarkStart w:id="162" w:name="_Toc273698329"/>
      <w:r>
        <w:rPr>
          <w:rFonts w:hint="eastAsia"/>
        </w:rPr>
        <w:t>第二节 传承历史文化，彰显长清文化底蕴</w:t>
      </w:r>
      <w:bookmarkEnd w:id="160"/>
      <w:bookmarkEnd w:id="161"/>
      <w:bookmarkEnd w:id="162"/>
    </w:p>
    <w:p w14:paraId="08290067">
      <w:pPr>
        <w:keepNext w:val="0"/>
        <w:keepLines w:val="0"/>
        <w:pageBreakBefore w:val="0"/>
        <w:wordWrap/>
        <w:topLinePunct w:val="0"/>
        <w:bidi w:val="0"/>
        <w:spacing w:line="560" w:lineRule="exact"/>
        <w:ind w:firstLine="643"/>
      </w:pPr>
      <w:r>
        <w:rPr>
          <w:rFonts w:hint="eastAsia"/>
          <w:b/>
          <w:bCs/>
        </w:rPr>
        <w:t>加强历史文化遗产保护</w:t>
      </w:r>
      <w:r>
        <w:rPr>
          <w:rFonts w:hint="eastAsia"/>
        </w:rPr>
        <w:t>。加大对文物古迹的保护力度，实施齐长城、灵岩寺、莲花洞石窟造像等重点文物保护项目，加强文物修缮、环境整治和安全防护设施建设。建立健全文物保护巡查制度，加强对不可移动文物的日常监管，严厉打击文物违法犯罪行为。加强对非物质文化遗产的保护与传承，建立完善的非遗项目和传承人保护机制，开展非遗项目普查和记录工作，推动非遗项目进校园、进社区、进企业，培养非遗传承人才。</w:t>
      </w:r>
    </w:p>
    <w:p w14:paraId="674C5D18">
      <w:pPr>
        <w:keepNext w:val="0"/>
        <w:keepLines w:val="0"/>
        <w:pageBreakBefore w:val="0"/>
        <w:wordWrap/>
        <w:topLinePunct w:val="0"/>
        <w:bidi w:val="0"/>
        <w:spacing w:line="560" w:lineRule="exact"/>
        <w:ind w:firstLine="643"/>
      </w:pPr>
      <w:r>
        <w:rPr>
          <w:rFonts w:hint="eastAsia"/>
          <w:b/>
          <w:bCs/>
        </w:rPr>
        <w:t>挖掘历史文化内涵</w:t>
      </w:r>
      <w:r>
        <w:rPr>
          <w:rFonts w:hint="eastAsia"/>
        </w:rPr>
        <w:t>。深入挖掘长清区的历史文化内涵，加强对扁鹊文化、义净文化、御道文化等特色文化的研究与阐释，加强孝堂山景区推广，进一步挖掘孝文化。组建专业的文化研究团队，联合高校、科研机构开展学术研究，推出一批有深度、有影响力的研究成果。利用现代信息技术，建设长清区历史文化数据库，整合文物、非遗、历史文献等资源，为文化研究和开发利用提供支撑。通过举办学术研讨会等活动，加强与国内外文化界的交流与合作，提升长清区历史文化的知名度和影响力。</w:t>
      </w:r>
    </w:p>
    <w:p w14:paraId="23130D19">
      <w:pPr>
        <w:keepNext w:val="0"/>
        <w:keepLines w:val="0"/>
        <w:pageBreakBefore w:val="0"/>
        <w:wordWrap/>
        <w:topLinePunct w:val="0"/>
        <w:bidi w:val="0"/>
        <w:spacing w:line="560" w:lineRule="exact"/>
        <w:ind w:firstLine="643"/>
      </w:pPr>
      <w:r>
        <w:rPr>
          <w:rFonts w:hint="eastAsia"/>
          <w:b/>
          <w:bCs/>
        </w:rPr>
        <w:t>促进历史文化传承与创新</w:t>
      </w:r>
      <w:r>
        <w:rPr>
          <w:rFonts w:hint="eastAsia"/>
        </w:rPr>
        <w:t>。推动历史文化与现代生活相融合，创新历史文化传承方式。以“融入生活、服务民生、促进产业、弘扬文化”为主线，构建覆盖全域的中医药文化宣教网络，开展针对性的中医药文化传播和适宜技术体验服务，联动文旅、康养等领域资源，推动中医药与养老、研学、休闲产业深度融合，将扁鹊文化元素融入城市形象塑造、文创产品开发及文旅场景建设中，推动《扁鹊传说》国家级非遗项目申报，推动中医药理念、知识、方法深度融入群众生产生活。加强对历史文化街区、传统村落的保护与开发，保留历史建筑风貌，植入文化创意、休闲旅游等新业态，打造具有历史记忆和文化特色的街区和村落。鼓励文化企业和社会力量参与历史文化的传承与创新，开发具有长清特色的文化产品和旅游商品，推动历史文化资源的产业化发展。推动文化产业高质量发展，促进“文化+科技”深度融合，培育发展新型文化企业、文化业态、文化消费模式。</w:t>
      </w:r>
    </w:p>
    <w:p w14:paraId="0BD820F7">
      <w:pPr>
        <w:pStyle w:val="4"/>
        <w:keepNext w:val="0"/>
        <w:keepLines w:val="0"/>
        <w:pageBreakBefore w:val="0"/>
        <w:wordWrap/>
        <w:topLinePunct w:val="0"/>
        <w:bidi w:val="0"/>
        <w:spacing w:line="560" w:lineRule="exact"/>
      </w:pPr>
      <w:bookmarkStart w:id="163" w:name="_Toc272586305"/>
      <w:bookmarkStart w:id="164" w:name="_Toc319232483"/>
      <w:bookmarkStart w:id="165" w:name="_Toc233272397"/>
      <w:r>
        <w:rPr>
          <w:rFonts w:hint="eastAsia"/>
        </w:rPr>
        <w:t>第三节 完善公共文化服务，提升文化惠民水平</w:t>
      </w:r>
      <w:bookmarkEnd w:id="163"/>
      <w:bookmarkEnd w:id="164"/>
      <w:bookmarkEnd w:id="165"/>
    </w:p>
    <w:p w14:paraId="0848D5EB">
      <w:pPr>
        <w:keepNext w:val="0"/>
        <w:keepLines w:val="0"/>
        <w:pageBreakBefore w:val="0"/>
        <w:wordWrap/>
        <w:topLinePunct w:val="0"/>
        <w:bidi w:val="0"/>
        <w:spacing w:line="560" w:lineRule="exact"/>
        <w:ind w:firstLine="643"/>
      </w:pPr>
      <w:r>
        <w:rPr>
          <w:rFonts w:hint="eastAsia"/>
          <w:b/>
          <w:bCs/>
        </w:rPr>
        <w:t>优化公共文化设施布局</w:t>
      </w:r>
      <w:r>
        <w:rPr>
          <w:rFonts w:hint="eastAsia"/>
        </w:rPr>
        <w:t>。按照“布局合理、功能完善、覆盖城乡”的原则，优化公共文化设施布局。加强区级公共文化设施完善，推进博物馆展陈等工作，提高场馆的服务功能和设施水平。加快基层综合性文化服务中心建设，实现社区（村）综合性文化服务中心全覆盖。结合城市更新和乡村振兴战略，规划建设一批新型公共文化空间，如泉城书房、文化驿站、城市文化广场等，打造“15分钟公共文化服务圈”，让居民在家门口就能享受到优质的公共文化服务。</w:t>
      </w:r>
    </w:p>
    <w:p w14:paraId="68FAB723">
      <w:pPr>
        <w:keepNext w:val="0"/>
        <w:keepLines w:val="0"/>
        <w:pageBreakBefore w:val="0"/>
        <w:wordWrap/>
        <w:topLinePunct w:val="0"/>
        <w:bidi w:val="0"/>
        <w:spacing w:line="560" w:lineRule="exact"/>
        <w:ind w:firstLine="643"/>
      </w:pPr>
      <w:r>
        <w:rPr>
          <w:rFonts w:hint="eastAsia"/>
          <w:b/>
          <w:bCs/>
        </w:rPr>
        <w:t>丰富公共文化服务供给</w:t>
      </w:r>
      <w:r>
        <w:rPr>
          <w:rFonts w:hint="eastAsia"/>
        </w:rPr>
        <w:t>。创新公共文化服务方式，丰富公共文化服务内容。深入实施文化惠民工程，开展送戏下乡、送电影下乡、文化进社区等活动，满足基层群众的文化需求。举办文艺演出、展览展示、文化讲座、艺术培训等各类文化活动，丰富群众的精神文化生活。加强文艺精品创作，鼓励文艺工作者深入生活、扎根人民，创作一批反映长清区时代风貌和人民群众精神生活的优秀文艺作品。建立公共文化服务供需对接机制，通过问卷调查、线上平台等方式，了解群众的文化需求，精准提供公共文化服务。</w:t>
      </w:r>
    </w:p>
    <w:p w14:paraId="722407DA">
      <w:pPr>
        <w:pStyle w:val="15"/>
        <w:keepNext w:val="0"/>
        <w:keepLines w:val="0"/>
        <w:pageBreakBefore w:val="0"/>
        <w:wordWrap/>
        <w:topLinePunct w:val="0"/>
        <w:bidi w:val="0"/>
        <w:spacing w:line="560" w:lineRule="exact"/>
        <w:ind w:firstLine="643"/>
      </w:pPr>
      <w:r>
        <w:rPr>
          <w:rFonts w:hint="eastAsia"/>
          <w:b/>
          <w:bCs/>
        </w:rPr>
        <w:t>推动公共文化服务数字化建设</w:t>
      </w:r>
      <w:r>
        <w:rPr>
          <w:rFonts w:hint="eastAsia"/>
        </w:rPr>
        <w:t>。顺应数字化发展趋势，加快公共文化服务数字化建设。推进图书馆、文化馆、博物馆等公共文化场馆的数字化改造，建设数字图书馆、数字文化馆、数字博物馆，实现文化资源的数字化存储、管理和传播。利用新媒体平台，打造线上公共文化服务平台，整合各类文化活动信息、文化资源，为群众提供便捷文化服务。探索数字文化服务新模式、新路径，提升公共文化服务的效能和质量。</w:t>
      </w:r>
    </w:p>
    <w:p w14:paraId="1718B81D">
      <w:pPr>
        <w:pStyle w:val="4"/>
        <w:keepNext w:val="0"/>
        <w:keepLines w:val="0"/>
        <w:pageBreakBefore w:val="0"/>
        <w:wordWrap/>
        <w:topLinePunct w:val="0"/>
        <w:bidi w:val="0"/>
        <w:spacing w:line="560" w:lineRule="exact"/>
      </w:pPr>
      <w:bookmarkStart w:id="166" w:name="_Toc342927005"/>
      <w:bookmarkStart w:id="167" w:name="_Toc1807745885"/>
      <w:bookmarkStart w:id="168" w:name="_Toc233272398"/>
      <w:r>
        <w:rPr>
          <w:rFonts w:hint="eastAsia"/>
        </w:rPr>
        <w:t>第四节  推动文旅康养深度融合，激活区域发展新动能</w:t>
      </w:r>
      <w:bookmarkEnd w:id="166"/>
      <w:bookmarkEnd w:id="167"/>
      <w:bookmarkEnd w:id="168"/>
    </w:p>
    <w:p w14:paraId="1B8AEC05">
      <w:pPr>
        <w:keepNext w:val="0"/>
        <w:keepLines w:val="0"/>
        <w:pageBreakBefore w:val="0"/>
        <w:wordWrap/>
        <w:topLinePunct w:val="0"/>
        <w:bidi w:val="0"/>
        <w:spacing w:line="560" w:lineRule="exact"/>
        <w:ind w:firstLine="640"/>
      </w:pPr>
      <w:r>
        <w:rPr>
          <w:rFonts w:hint="eastAsia"/>
        </w:rPr>
        <w:t>依托东部文化旅游、中部医养康养、西部黄河风貌三大产业带的空间布局，以及灵岩寺、园博园等核心资源，推动文旅康养产业从“资源集聚”向“品质引领”跨越，力争到2030年，年接待游客人数超过1000万人次，旅游收入突破80亿元，培育1-3家省级以上龙头企业，建成2-3个重点文旅康养品牌载体，将长清打造成为黄河流域文旅融合高地与高品质生活宜居地。</w:t>
      </w:r>
    </w:p>
    <w:p w14:paraId="063C1137">
      <w:pPr>
        <w:keepNext w:val="0"/>
        <w:keepLines w:val="0"/>
        <w:pageBreakBefore w:val="0"/>
        <w:wordWrap/>
        <w:topLinePunct w:val="0"/>
        <w:bidi w:val="0"/>
        <w:spacing w:line="560" w:lineRule="exact"/>
        <w:ind w:firstLine="643"/>
      </w:pPr>
      <w:r>
        <w:rPr>
          <w:b/>
          <w:bCs/>
        </w:rPr>
        <w:t>聚焦</w:t>
      </w:r>
      <w:r>
        <w:rPr>
          <w:rFonts w:hint="eastAsia"/>
          <w:b/>
          <w:bCs/>
        </w:rPr>
        <w:t>四</w:t>
      </w:r>
      <w:r>
        <w:rPr>
          <w:b/>
          <w:bCs/>
        </w:rPr>
        <w:t>大核心</w:t>
      </w:r>
      <w:r>
        <w:rPr>
          <w:rFonts w:hint="eastAsia"/>
          <w:b/>
          <w:bCs/>
        </w:rPr>
        <w:t>业态。一是做好“美食”文章。</w:t>
      </w:r>
      <w:r>
        <w:rPr>
          <w:rFonts w:hint="eastAsia"/>
        </w:rPr>
        <w:t>支持美食街区改造、非遗美食传承等项目。挖掘长清非遗美食内涵，打造“非遗美食之乡”品牌。优化旅游动线设计，串联重点景区与周边美食打卡点。丰富夜间消费场景，打造“美食夜市”，引入美食制作表演、民俗小吃展等内容。</w:t>
      </w:r>
      <w:r>
        <w:rPr>
          <w:rFonts w:hint="eastAsia"/>
          <w:b/>
          <w:bCs/>
        </w:rPr>
        <w:t>二是做好“住宿”文章。</w:t>
      </w:r>
      <w:r>
        <w:rPr>
          <w:rFonts w:hint="eastAsia"/>
        </w:rPr>
        <w:t>提升民宿集聚区基础设施建设，抓好文化元素提升，支持在民宿中植入黄河文化、泰山文化、中医药康养文化等文化元素，支持A级景区发展户外露营地、房车营地等新兴业态民宿项目建设，推动住宿业从单一功能向“住宿+文化、康养、研学”等多维融合转型升级。</w:t>
      </w:r>
      <w:r>
        <w:rPr>
          <w:rFonts w:hint="eastAsia"/>
          <w:b/>
          <w:bCs/>
        </w:rPr>
        <w:t>三是做好“演艺”文章。</w:t>
      </w:r>
      <w:r>
        <w:rPr>
          <w:rFonts w:hint="eastAsia"/>
        </w:rPr>
        <w:t>充分利用园博园、电影幻城、灵岩寺等景区，整合全区旅游、文创、美食等资源举办演艺主题市集，活化地方传统文化传播，创新非遗民俗展演方式，有效盘活自然生态与历史建筑空间，打造“演艺+”生态集群。</w:t>
      </w:r>
      <w:r>
        <w:rPr>
          <w:rFonts w:hint="eastAsia"/>
          <w:b/>
          <w:bCs/>
        </w:rPr>
        <w:t>四是做好“运动”文章。</w:t>
      </w:r>
      <w:r>
        <w:rPr>
          <w:rFonts w:hint="eastAsia"/>
        </w:rPr>
        <w:t>聚焦</w:t>
      </w:r>
      <w:r>
        <w:t>“康养+运动”新业态</w:t>
      </w:r>
      <w:r>
        <w:rPr>
          <w:rFonts w:hint="eastAsia"/>
        </w:rPr>
        <w:t>，</w:t>
      </w:r>
      <w:r>
        <w:t>依托“天穹之境”极限运动休闲文旅基地等项目</w:t>
      </w:r>
      <w:r>
        <w:rPr>
          <w:rFonts w:hint="eastAsia"/>
        </w:rPr>
        <w:t>，</w:t>
      </w:r>
      <w:r>
        <w:t>引入山地越野、户外攀岩、骑行、电子竞技等新兴体育产业。</w:t>
      </w:r>
    </w:p>
    <w:p w14:paraId="3735E12C">
      <w:pPr>
        <w:pStyle w:val="14"/>
        <w:keepNext w:val="0"/>
        <w:keepLines w:val="0"/>
        <w:pageBreakBefore w:val="0"/>
        <w:wordWrap/>
        <w:topLinePunct w:val="0"/>
        <w:bidi w:val="0"/>
        <w:spacing w:before="0" w:beforeAutospacing="0" w:after="0" w:afterAutospacing="0" w:line="560" w:lineRule="exact"/>
        <w:ind w:firstLine="643"/>
        <w:jc w:val="both"/>
        <w:rPr>
          <w:rFonts w:ascii="仿宋_GB2312" w:hAnsi="仿宋_GB2312" w:eastAsia="仿宋_GB2312" w:cs="仿宋_GB2312"/>
          <w:kern w:val="2"/>
          <w:sz w:val="32"/>
          <w:szCs w:val="32"/>
        </w:rPr>
      </w:pPr>
      <w:r>
        <w:rPr>
          <w:rFonts w:ascii="仿宋_GB2312" w:hAnsi="仿宋_GB2312" w:eastAsia="仿宋_GB2312" w:cs="仿宋_GB2312"/>
          <w:b/>
          <w:bCs/>
          <w:kern w:val="2"/>
          <w:sz w:val="32"/>
          <w:szCs w:val="32"/>
        </w:rPr>
        <w:t>做优做强</w:t>
      </w:r>
      <w:r>
        <w:rPr>
          <w:rFonts w:hint="eastAsia" w:ascii="仿宋_GB2312" w:hAnsi="仿宋_GB2312" w:eastAsia="仿宋_GB2312" w:cs="仿宋_GB2312"/>
          <w:b/>
          <w:bCs/>
          <w:kern w:val="2"/>
          <w:sz w:val="32"/>
          <w:szCs w:val="32"/>
        </w:rPr>
        <w:t>文旅</w:t>
      </w:r>
      <w:r>
        <w:rPr>
          <w:rFonts w:ascii="仿宋_GB2312" w:hAnsi="仿宋_GB2312" w:eastAsia="仿宋_GB2312" w:cs="仿宋_GB2312"/>
          <w:b/>
          <w:bCs/>
          <w:kern w:val="2"/>
          <w:sz w:val="32"/>
          <w:szCs w:val="32"/>
        </w:rPr>
        <w:t>片区</w:t>
      </w:r>
      <w:r>
        <w:rPr>
          <w:rFonts w:hint="eastAsia" w:cs="仿宋_GB2312"/>
          <w:b/>
          <w:bCs/>
          <w:kern w:val="2"/>
          <w:sz w:val="32"/>
          <w:szCs w:val="32"/>
        </w:rPr>
        <w:t>。</w:t>
      </w:r>
      <w:r>
        <w:rPr>
          <w:rFonts w:hint="eastAsia" w:ascii="仿宋_GB2312" w:hAnsi="仿宋_GB2312" w:eastAsia="仿宋_GB2312" w:cs="仿宋_GB2312"/>
          <w:b/>
          <w:bCs/>
          <w:kern w:val="2"/>
          <w:sz w:val="32"/>
          <w:szCs w:val="32"/>
        </w:rPr>
        <w:t>一是园博园夜经济片区。</w:t>
      </w:r>
      <w:r>
        <w:rPr>
          <w:rFonts w:hint="eastAsia" w:ascii="仿宋_GB2312" w:hAnsi="仿宋_GB2312" w:eastAsia="仿宋_GB2312" w:cs="仿宋_GB2312"/>
          <w:kern w:val="2"/>
          <w:sz w:val="32"/>
          <w:szCs w:val="32"/>
        </w:rPr>
        <w:t>在园博园及周边区域引入灯光艺术、音乐嘉年华、运动赛事等项目，培育创意市集、设计师品牌店、沉浸式剧本娱乐等潮流业态。推动“白+黑”全时运营，激活食、购、游、娱全链条夜间消费，打造济南西部都市微度假目的地和夜经济新高地。</w:t>
      </w:r>
      <w:r>
        <w:rPr>
          <w:rFonts w:hint="eastAsia" w:ascii="仿宋_GB2312" w:hAnsi="仿宋_GB2312" w:eastAsia="仿宋_GB2312" w:cs="仿宋_GB2312"/>
          <w:b/>
          <w:bCs/>
          <w:kern w:val="2"/>
          <w:sz w:val="32"/>
          <w:szCs w:val="32"/>
        </w:rPr>
        <w:t>二是五峰山康养片区。</w:t>
      </w:r>
      <w:r>
        <w:rPr>
          <w:rFonts w:hint="eastAsia" w:ascii="仿宋_GB2312" w:hAnsi="仿宋_GB2312" w:eastAsia="仿宋_GB2312" w:cs="仿宋_GB2312"/>
          <w:kern w:val="2"/>
          <w:sz w:val="32"/>
          <w:szCs w:val="32"/>
        </w:rPr>
        <w:t>依托五峰山优良生态环境，重点建设高端康养公寓、静修度假酒店、健康管理中心，提供“文化+中医理疗” 特色疗愈方案。推动“康养+医疗”“康养+文化”深度融合。</w:t>
      </w:r>
      <w:r>
        <w:rPr>
          <w:rFonts w:hint="eastAsia" w:ascii="仿宋_GB2312" w:hAnsi="仿宋_GB2312" w:eastAsia="仿宋_GB2312" w:cs="仿宋_GB2312"/>
          <w:b/>
          <w:bCs/>
          <w:kern w:val="2"/>
          <w:sz w:val="32"/>
          <w:szCs w:val="32"/>
        </w:rPr>
        <w:t>三是灵岩寺历史人文片区。</w:t>
      </w:r>
      <w:r>
        <w:rPr>
          <w:rFonts w:hint="eastAsia" w:ascii="仿宋_GB2312" w:hAnsi="仿宋_GB2312" w:eastAsia="仿宋_GB2312" w:cs="仿宋_GB2312"/>
          <w:kern w:val="2"/>
          <w:sz w:val="32"/>
          <w:szCs w:val="32"/>
        </w:rPr>
        <w:t>以“泰山-灵岩”世界遗产品牌为核心吸引力，大力发展文化领域深度融合业态，加强数字技术复原历史场景、艺术化呈现石刻故事，打造历史文化深度体验区。</w:t>
      </w:r>
      <w:r>
        <w:rPr>
          <w:rFonts w:hint="eastAsia" w:ascii="仿宋_GB2312" w:hAnsi="仿宋_GB2312" w:eastAsia="仿宋_GB2312" w:cs="仿宋_GB2312"/>
          <w:b/>
          <w:bCs/>
          <w:kern w:val="2"/>
          <w:sz w:val="32"/>
          <w:szCs w:val="32"/>
        </w:rPr>
        <w:t>四是农文旅融合片区。</w:t>
      </w:r>
      <w:r>
        <w:rPr>
          <w:rFonts w:hint="eastAsia" w:ascii="仿宋_GB2312" w:hAnsi="仿宋_GB2312" w:eastAsia="仿宋_GB2312" w:cs="仿宋_GB2312"/>
          <w:kern w:val="2"/>
          <w:sz w:val="32"/>
          <w:szCs w:val="32"/>
        </w:rPr>
        <w:t>整合马山、双泉镇的中药材、雪桃等特色农业资源，以及孝里街道的“孝文化”与红色文化资源，建设共享农园、精品民宿集群、亲子自然教育营地，推动农业与文旅、康养、教育、体育深度融合，构建沉浸式乡土生活体验区，打造省会都市圈近郊田园康养综合体和孝文化传承基地。</w:t>
      </w:r>
      <w:r>
        <w:rPr>
          <w:rFonts w:hint="eastAsia" w:ascii="仿宋_GB2312" w:hAnsi="仿宋_GB2312" w:eastAsia="仿宋_GB2312" w:cs="仿宋_GB2312"/>
          <w:b/>
          <w:bCs/>
          <w:kern w:val="2"/>
          <w:sz w:val="32"/>
          <w:szCs w:val="32"/>
        </w:rPr>
        <w:t>五是沿黄滨水休闲片区。</w:t>
      </w:r>
      <w:r>
        <w:rPr>
          <w:rFonts w:hint="eastAsia" w:ascii="仿宋_GB2312" w:hAnsi="仿宋_GB2312" w:eastAsia="仿宋_GB2312" w:cs="仿宋_GB2312"/>
          <w:kern w:val="2"/>
          <w:sz w:val="32"/>
          <w:szCs w:val="32"/>
        </w:rPr>
        <w:t>挖掘黄河文化、农耕文化与湿地生态价值，构建以 “生态为基、文化为魂、休闲为体” 的发展新模式。重点开发生态观光、农耕体验、湿地科普、滨水休闲、房车露营等特色业态，适度配套绿色康养驿站与精品民宿，打造近郊黄河文化生态休闲目的地。</w:t>
      </w:r>
    </w:p>
    <w:p w14:paraId="0267A3FC">
      <w:pPr>
        <w:pStyle w:val="14"/>
        <w:keepNext w:val="0"/>
        <w:keepLines w:val="0"/>
        <w:pageBreakBefore w:val="0"/>
        <w:wordWrap/>
        <w:topLinePunct w:val="0"/>
        <w:bidi w:val="0"/>
        <w:spacing w:before="0" w:beforeAutospacing="0" w:after="0" w:afterAutospacing="0" w:line="560" w:lineRule="exact"/>
        <w:ind w:firstLine="643"/>
        <w:jc w:val="both"/>
        <w:rPr>
          <w:rFonts w:ascii="仿宋_GB2312" w:hAnsi="仿宋_GB2312" w:eastAsia="仿宋_GB2312" w:cs="仿宋_GB2312"/>
          <w:kern w:val="2"/>
          <w:sz w:val="32"/>
          <w:szCs w:val="32"/>
        </w:rPr>
      </w:pPr>
      <w:r>
        <w:rPr>
          <w:rFonts w:hint="eastAsia" w:ascii="仿宋_GB2312" w:hAnsi="仿宋_GB2312" w:eastAsia="仿宋_GB2312" w:cs="仿宋_GB2312"/>
          <w:b/>
          <w:bCs/>
          <w:kern w:val="2"/>
          <w:sz w:val="32"/>
          <w:szCs w:val="32"/>
        </w:rPr>
        <w:t>激发文旅产业潜能。</w:t>
      </w:r>
      <w:r>
        <w:rPr>
          <w:rFonts w:hint="eastAsia" w:ascii="仿宋_GB2312" w:hAnsi="仿宋_GB2312" w:eastAsia="仿宋_GB2312" w:cs="仿宋_GB2312"/>
          <w:sz w:val="32"/>
          <w:szCs w:val="32"/>
        </w:rPr>
        <w:t>实施“一园焕新·双核驱动·全域进阶”发展战略，全方位激活长清文旅产业发展潜能。</w:t>
      </w:r>
      <w:r>
        <w:rPr>
          <w:rFonts w:hint="eastAsia" w:ascii="仿宋_GB2312" w:hAnsi="仿宋_GB2312" w:eastAsia="仿宋_GB2312" w:cs="仿宋_GB2312"/>
          <w:b/>
          <w:bCs/>
          <w:sz w:val="32"/>
          <w:szCs w:val="32"/>
        </w:rPr>
        <w:t>一是</w:t>
      </w:r>
      <w:r>
        <w:rPr>
          <w:rFonts w:hint="eastAsia" w:ascii="仿宋_GB2312" w:hAnsi="仿宋_GB2312" w:eastAsia="仿宋_GB2312" w:cs="仿宋_GB2312"/>
          <w:b/>
          <w:bCs/>
          <w:kern w:val="2"/>
          <w:sz w:val="32"/>
          <w:szCs w:val="32"/>
        </w:rPr>
        <w:t>一园</w:t>
      </w:r>
      <w:r>
        <w:rPr>
          <w:rFonts w:hint="eastAsia" w:ascii="仿宋_GB2312" w:hAnsi="仿宋_GB2312" w:eastAsia="仿宋_GB2312" w:cs="仿宋_GB2312"/>
          <w:b/>
          <w:bCs/>
          <w:sz w:val="32"/>
          <w:szCs w:val="32"/>
        </w:rPr>
        <w:t>焕新，构建文旅新空间。</w:t>
      </w:r>
      <w:r>
        <w:rPr>
          <w:rFonts w:hint="eastAsia" w:ascii="仿宋_GB2312" w:hAnsi="仿宋_GB2312" w:eastAsia="仿宋_GB2312" w:cs="仿宋_GB2312"/>
          <w:sz w:val="32"/>
          <w:szCs w:val="32"/>
        </w:rPr>
        <w:t>以园博园为集中平台，推动“园林景观+多元业态+智慧服务”深度融合，构建“全天候、全龄段、全体验”的文旅新空间，实现从“观赏型园区”到“沉浸型目的地”的跨越。</w:t>
      </w:r>
      <w:r>
        <w:rPr>
          <w:rFonts w:hint="eastAsia" w:ascii="仿宋_GB2312" w:hAnsi="仿宋_GB2312" w:eastAsia="仿宋_GB2312" w:cs="仿宋_GB2312"/>
          <w:b/>
          <w:bCs/>
          <w:kern w:val="2"/>
          <w:sz w:val="32"/>
          <w:szCs w:val="32"/>
        </w:rPr>
        <w:t>双核</w:t>
      </w:r>
      <w:r>
        <w:rPr>
          <w:rFonts w:hint="eastAsia" w:ascii="仿宋_GB2312" w:hAnsi="仿宋_GB2312" w:eastAsia="仿宋_GB2312" w:cs="仿宋_GB2312"/>
          <w:b/>
          <w:bCs/>
          <w:sz w:val="32"/>
          <w:szCs w:val="32"/>
        </w:rPr>
        <w:t>驱动，打造品牌文旅地标。</w:t>
      </w:r>
      <w:r>
        <w:rPr>
          <w:rFonts w:hint="eastAsia" w:ascii="仿宋_GB2312" w:hAnsi="仿宋_GB2312" w:eastAsia="仿宋_GB2312" w:cs="仿宋_GB2312"/>
          <w:sz w:val="32"/>
          <w:szCs w:val="32"/>
        </w:rPr>
        <w:t>以灵岩寺、五峰山为双核心引擎，深入挖掘其深厚的历史文化内涵，通过文化解码与业态创新，激活核心价值，打造具有国际辨识度的文旅地标集群，形成“双轮牵引、辐射全域”的动力格局。</w:t>
      </w:r>
      <w:r>
        <w:rPr>
          <w:rFonts w:hint="eastAsia" w:ascii="仿宋_GB2312" w:hAnsi="仿宋_GB2312" w:eastAsia="仿宋_GB2312" w:cs="仿宋_GB2312"/>
          <w:b/>
          <w:bCs/>
          <w:sz w:val="32"/>
          <w:szCs w:val="32"/>
        </w:rPr>
        <w:t>三是全域进阶，打造高品质旅游目的地。</w:t>
      </w:r>
      <w:r>
        <w:rPr>
          <w:rFonts w:hint="eastAsia" w:ascii="仿宋_GB2312" w:hAnsi="仿宋_GB2312" w:eastAsia="仿宋_GB2312" w:cs="仿宋_GB2312"/>
          <w:sz w:val="32"/>
          <w:szCs w:val="32"/>
        </w:rPr>
        <w:t>按照“梯队培育、特色赋能”路径，推动各景区从“单点发展”向“协同共生”升级，形成“核心引领、节点支撑、轴带联动”的全域文旅生态体系，打造“山水与人文共生、传统与现代交融”的高品质旅游目的地</w:t>
      </w:r>
      <w:r>
        <w:rPr>
          <w:rFonts w:hint="eastAsia" w:ascii="仿宋_GB2312" w:hAnsi="仿宋_GB2312" w:eastAsia="仿宋_GB2312" w:cs="仿宋_GB2312"/>
          <w:kern w:val="2"/>
          <w:sz w:val="32"/>
          <w:szCs w:val="32"/>
        </w:rPr>
        <w:t>。</w:t>
      </w:r>
    </w:p>
    <w:p w14:paraId="2C6E6E8A">
      <w:pPr>
        <w:pStyle w:val="14"/>
        <w:keepNext w:val="0"/>
        <w:keepLines w:val="0"/>
        <w:pageBreakBefore w:val="0"/>
        <w:wordWrap/>
        <w:topLinePunct w:val="0"/>
        <w:bidi w:val="0"/>
        <w:spacing w:before="0" w:beforeAutospacing="0" w:after="0" w:afterAutospacing="0" w:line="560" w:lineRule="exact"/>
        <w:ind w:firstLine="640"/>
        <w:rPr>
          <w:rFonts w:ascii="仿宋_GB2312" w:hAnsi="仿宋_GB2312" w:eastAsia="仿宋_GB2312" w:cs="仿宋_GB2312"/>
          <w:kern w:val="2"/>
          <w:sz w:val="32"/>
          <w:szCs w:val="32"/>
        </w:rPr>
      </w:pPr>
    </w:p>
    <w:tbl>
      <w:tblPr>
        <w:tblStyle w:val="17"/>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9288"/>
      </w:tblGrid>
      <w:tr w14:paraId="113868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288" w:type="dxa"/>
          </w:tcPr>
          <w:p w14:paraId="7522C3E3">
            <w:pPr>
              <w:pStyle w:val="5"/>
              <w:keepNext w:val="0"/>
              <w:keepLines w:val="0"/>
              <w:pageBreakBefore w:val="0"/>
              <w:wordWrap/>
              <w:topLinePunct w:val="0"/>
              <w:bidi w:val="0"/>
              <w:spacing w:after="0" w:line="560" w:lineRule="exact"/>
              <w:ind w:firstLine="0" w:firstLineChars="0"/>
              <w:jc w:val="center"/>
              <w:textAlignment w:val="baseline"/>
              <w:rPr>
                <w:rFonts w:ascii="楷体_GB2312" w:hAnsi="楷体_GB2312" w:eastAsia="楷体_GB2312" w:cs="楷体_GB2312"/>
                <w:sz w:val="28"/>
                <w:szCs w:val="28"/>
              </w:rPr>
            </w:pPr>
            <w:r>
              <w:rPr>
                <w:rFonts w:hint="eastAsia" w:ascii="黑体" w:hAnsi="黑体" w:eastAsia="黑体" w:cs="黑体"/>
                <w:sz w:val="30"/>
                <w:szCs w:val="30"/>
              </w:rPr>
              <w:t>专栏9  文旅康养产业重点项目</w:t>
            </w:r>
          </w:p>
          <w:p w14:paraId="3E0CE5D7">
            <w:pPr>
              <w:pStyle w:val="5"/>
              <w:keepNext w:val="0"/>
              <w:keepLines w:val="0"/>
              <w:pageBreakBefore w:val="0"/>
              <w:wordWrap/>
              <w:topLinePunct w:val="0"/>
              <w:bidi w:val="0"/>
              <w:spacing w:after="0" w:line="560" w:lineRule="exact"/>
              <w:ind w:firstLine="560"/>
              <w:textAlignment w:val="baseline"/>
            </w:pPr>
            <w:r>
              <w:rPr>
                <w:rFonts w:hint="eastAsia" w:ascii="楷体_GB2312" w:hAnsi="楷体_GB2312" w:eastAsia="楷体_GB2312" w:cs="楷体_GB2312"/>
                <w:sz w:val="28"/>
                <w:szCs w:val="28"/>
              </w:rPr>
              <w:t>大学城“平急两用”旅居集散基地、五峰片区文旅康养项目、义净文化片区提升项目、马山百里田园度假区项目、北鱼文化产业长清国际滑翔中心项目、“天穹之境”极限运动休闲文旅基地、山东迅达康神秀谷产业二期建设项目、绿洲园田园综合体项目、传统古村落文旅项目</w:t>
            </w:r>
          </w:p>
        </w:tc>
      </w:tr>
    </w:tbl>
    <w:p w14:paraId="323251D4">
      <w:pPr>
        <w:keepNext w:val="0"/>
        <w:keepLines w:val="0"/>
        <w:pageBreakBefore w:val="0"/>
        <w:wordWrap/>
        <w:topLinePunct w:val="0"/>
        <w:bidi w:val="0"/>
        <w:spacing w:line="560" w:lineRule="exact"/>
        <w:ind w:firstLine="640"/>
        <w:rPr>
          <w:rFonts w:ascii="黑体" w:hAnsi="黑体" w:eastAsia="黑体" w:cs="黑体"/>
          <w:szCs w:val="22"/>
        </w:rPr>
      </w:pPr>
      <w:r>
        <w:rPr>
          <w:rFonts w:hint="eastAsia" w:ascii="黑体" w:hAnsi="黑体" w:eastAsia="黑体" w:cs="黑体"/>
          <w:szCs w:val="22"/>
        </w:rPr>
        <w:br w:type="page"/>
      </w:r>
    </w:p>
    <w:p w14:paraId="24C3BBAA">
      <w:pPr>
        <w:pStyle w:val="3"/>
        <w:keepNext w:val="0"/>
        <w:keepLines w:val="0"/>
        <w:pageBreakBefore w:val="0"/>
        <w:wordWrap/>
        <w:topLinePunct w:val="0"/>
        <w:bidi w:val="0"/>
        <w:spacing w:line="560" w:lineRule="exact"/>
        <w:rPr>
          <w:rFonts w:hint="eastAsia"/>
        </w:rPr>
      </w:pPr>
      <w:bookmarkStart w:id="169" w:name="_Toc128341086"/>
    </w:p>
    <w:p w14:paraId="7FB23AF5">
      <w:pPr>
        <w:pStyle w:val="3"/>
        <w:keepNext w:val="0"/>
        <w:keepLines w:val="0"/>
        <w:pageBreakBefore w:val="0"/>
        <w:wordWrap/>
        <w:topLinePunct w:val="0"/>
        <w:bidi w:val="0"/>
        <w:spacing w:line="560" w:lineRule="exact"/>
      </w:pPr>
      <w:bookmarkStart w:id="170" w:name="_Toc233272399"/>
      <w:r>
        <w:rPr>
          <w:rFonts w:hint="eastAsia"/>
        </w:rPr>
        <w:t>第十一章  全方位增进民生福祉，建设宜居宜业的幸福长清</w:t>
      </w:r>
      <w:bookmarkEnd w:id="132"/>
      <w:bookmarkEnd w:id="133"/>
      <w:bookmarkEnd w:id="169"/>
      <w:bookmarkEnd w:id="170"/>
    </w:p>
    <w:p w14:paraId="56ED496B">
      <w:pPr>
        <w:keepNext w:val="0"/>
        <w:keepLines w:val="0"/>
        <w:pageBreakBefore w:val="0"/>
        <w:wordWrap/>
        <w:topLinePunct w:val="0"/>
        <w:bidi w:val="0"/>
        <w:spacing w:line="560" w:lineRule="exact"/>
        <w:ind w:firstLine="640"/>
      </w:pPr>
    </w:p>
    <w:p w14:paraId="2AB8529C">
      <w:pPr>
        <w:keepNext w:val="0"/>
        <w:keepLines w:val="0"/>
        <w:pageBreakBefore w:val="0"/>
        <w:wordWrap/>
        <w:topLinePunct w:val="0"/>
        <w:bidi w:val="0"/>
        <w:spacing w:line="560" w:lineRule="exact"/>
        <w:ind w:firstLine="640"/>
        <w:rPr>
          <w:rFonts w:ascii="黑体" w:hAnsi="黑体" w:eastAsia="黑体" w:cs="黑体"/>
          <w:szCs w:val="22"/>
        </w:rPr>
      </w:pPr>
      <w:r>
        <w:t>坚持以人民为中心的发展思想，聚焦就业增收、教育发展、公共卫生、社会保障等关键领域，通过实施一系列惠民生、暖民心的务实举措，切实解决人民群众急难愁盼问题</w:t>
      </w:r>
      <w:r>
        <w:rPr>
          <w:rFonts w:hint="eastAsia"/>
        </w:rPr>
        <w:t>，</w:t>
      </w:r>
      <w:r>
        <w:t>构建覆盖全民、统筹城乡、公平统一、可持续的多层次民生保障体系</w:t>
      </w:r>
      <w:r>
        <w:rPr>
          <w:rFonts w:hint="eastAsia"/>
        </w:rPr>
        <w:t>。</w:t>
      </w:r>
    </w:p>
    <w:p w14:paraId="7563B7C3">
      <w:pPr>
        <w:pStyle w:val="4"/>
        <w:keepNext w:val="0"/>
        <w:keepLines w:val="0"/>
        <w:pageBreakBefore w:val="0"/>
        <w:wordWrap/>
        <w:topLinePunct w:val="0"/>
        <w:bidi w:val="0"/>
        <w:spacing w:line="560" w:lineRule="exact"/>
      </w:pPr>
      <w:bookmarkStart w:id="171" w:name="_Toc233272400"/>
      <w:bookmarkStart w:id="172" w:name="_Toc1939691989"/>
      <w:bookmarkStart w:id="173" w:name="_Toc1864801859"/>
      <w:r>
        <w:rPr>
          <w:rFonts w:hint="eastAsia"/>
        </w:rPr>
        <w:t>第一节  建立健全就业增收体系</w:t>
      </w:r>
      <w:bookmarkEnd w:id="171"/>
      <w:bookmarkEnd w:id="172"/>
      <w:bookmarkEnd w:id="173"/>
    </w:p>
    <w:p w14:paraId="0F85A38E">
      <w:pPr>
        <w:keepNext w:val="0"/>
        <w:keepLines w:val="0"/>
        <w:pageBreakBefore w:val="0"/>
        <w:wordWrap/>
        <w:topLinePunct w:val="0"/>
        <w:bidi w:val="0"/>
        <w:spacing w:line="560" w:lineRule="exact"/>
        <w:ind w:firstLine="640"/>
      </w:pPr>
      <w:r>
        <w:rPr>
          <w:rFonts w:hint="eastAsia"/>
        </w:rPr>
        <w:t>“十五五”期间，坚持就业优先战略与收入提升政策协同发力，到2030年，累计提供高质量就业岗位2万余个，实现城镇新增就业1.5万人以上，力争高技能人才总量突破0.5万人，累计开展技能培训1.5万人次，居民人均可支配收入年均增长5%以上，形成与高质量发展相适应的就业增收体系。</w:t>
      </w:r>
    </w:p>
    <w:p w14:paraId="0EE72CA1">
      <w:pPr>
        <w:pStyle w:val="15"/>
        <w:keepNext w:val="0"/>
        <w:keepLines w:val="0"/>
        <w:pageBreakBefore w:val="0"/>
        <w:wordWrap/>
        <w:topLinePunct w:val="0"/>
        <w:bidi w:val="0"/>
        <w:spacing w:line="560" w:lineRule="exact"/>
        <w:ind w:firstLine="643"/>
      </w:pPr>
      <w:r>
        <w:rPr>
          <w:rFonts w:hint="eastAsia"/>
          <w:b/>
          <w:bCs/>
        </w:rPr>
        <w:t>夯实高质量就业基本盘。</w:t>
      </w:r>
      <w:r>
        <w:rPr>
          <w:rFonts w:hint="eastAsia"/>
        </w:rPr>
        <w:t>培育新质生产力带动就业，紧密对接区内新能源装备、生物医药、网络视听等产业发展需求，挖掘先进制造、数字经济等领域新职业、新岗位，开发智能制造、电商物流、健康养老等领域新岗位。健全终身职业技能培训制度，支持企业与驻区高校、职业院校共建实训基地，开展“订单式”技能培训，精准化解结构性就业矛盾，</w:t>
      </w:r>
      <w:r>
        <w:rPr>
          <w:rFonts w:hint="eastAsia" w:ascii="仿宋_GB2312"/>
        </w:rPr>
        <w:t>到2030年，力争累计新增</w:t>
      </w:r>
      <w:r>
        <w:rPr>
          <w:rFonts w:hint="eastAsia"/>
        </w:rPr>
        <w:t>“订单式”技能培训</w:t>
      </w:r>
      <w:r>
        <w:rPr>
          <w:rFonts w:hint="eastAsia" w:ascii="仿宋_GB2312"/>
        </w:rPr>
        <w:t>2000人次</w:t>
      </w:r>
      <w:r>
        <w:rPr>
          <w:rFonts w:hint="eastAsia"/>
        </w:rPr>
        <w:t>。支持企业稳岗扩岗，落实阶段性降低失业、工伤保险费率等减负稳岗政策，健全民营企业解难纾困长效机制，提升中小企业就业吸引力。强化劳动者权益保障，指导企业依法合规用工。规范劳务派遣用工，加强新就业形态劳动者权益保障。</w:t>
      </w:r>
    </w:p>
    <w:p w14:paraId="66496F0D">
      <w:pPr>
        <w:keepNext w:val="0"/>
        <w:keepLines w:val="0"/>
        <w:pageBreakBefore w:val="0"/>
        <w:wordWrap/>
        <w:topLinePunct w:val="0"/>
        <w:bidi w:val="0"/>
        <w:spacing w:line="560" w:lineRule="exact"/>
        <w:ind w:firstLine="643"/>
      </w:pPr>
      <w:r>
        <w:rPr>
          <w:rFonts w:hint="eastAsia"/>
          <w:b/>
          <w:bCs/>
        </w:rPr>
        <w:t>促进重点群体高质量就业。</w:t>
      </w:r>
      <w:r>
        <w:rPr>
          <w:rFonts w:hint="eastAsia"/>
        </w:rPr>
        <w:t>聚焦黄河滩区迁建居民，</w:t>
      </w:r>
      <w:r>
        <w:t>依托农批市场片区、大学城片区等重点项目，开发适合滩区群众的物流配送、冷链仓储、农产品加工等就业岗位。实施</w:t>
      </w:r>
      <w:r>
        <w:rPr>
          <w:rFonts w:hint="eastAsia"/>
        </w:rPr>
        <w:t>“</w:t>
      </w:r>
      <w:r>
        <w:t>社区微业</w:t>
      </w:r>
      <w:r>
        <w:rPr>
          <w:rFonts w:hint="eastAsia"/>
        </w:rPr>
        <w:t>”</w:t>
      </w:r>
      <w:r>
        <w:t>行动，推广</w:t>
      </w:r>
      <w:r>
        <w:rPr>
          <w:rFonts w:hint="eastAsia"/>
        </w:rPr>
        <w:t>“</w:t>
      </w:r>
      <w:r>
        <w:t>招聘夜市</w:t>
      </w:r>
      <w:r>
        <w:rPr>
          <w:rFonts w:hint="eastAsia"/>
        </w:rPr>
        <w:t>”“</w:t>
      </w:r>
      <w:r>
        <w:t>就业服务驿站</w:t>
      </w:r>
      <w:r>
        <w:rPr>
          <w:rFonts w:hint="eastAsia"/>
        </w:rPr>
        <w:t>”</w:t>
      </w:r>
      <w:r>
        <w:t>等灵活就业服务模式，促进滩区群众就地就近就业。针对高校毕业生群体，</w:t>
      </w:r>
      <w:r>
        <w:rPr>
          <w:rFonts w:hint="eastAsia"/>
        </w:rPr>
        <w:t>扩大基层服务项目招募规模，稳定机关事业单位和国有企业招聘，</w:t>
      </w:r>
      <w:r>
        <w:t>深化政校企合作，拓展</w:t>
      </w:r>
      <w:r>
        <w:rPr>
          <w:rFonts w:hint="eastAsia"/>
        </w:rPr>
        <w:t>“</w:t>
      </w:r>
      <w:r>
        <w:t>互联网+</w:t>
      </w:r>
      <w:r>
        <w:rPr>
          <w:rFonts w:hint="eastAsia"/>
        </w:rPr>
        <w:t>”“</w:t>
      </w:r>
      <w:r>
        <w:t>AI+</w:t>
      </w:r>
      <w:r>
        <w:rPr>
          <w:rFonts w:hint="eastAsia"/>
        </w:rPr>
        <w:t>”</w:t>
      </w:r>
      <w:r>
        <w:t>等新业态就业空间，支持高校毕业生在新能源、生物医药、网络视听等新兴领域创业就业</w:t>
      </w:r>
      <w:r>
        <w:rPr>
          <w:rFonts w:hint="eastAsia"/>
        </w:rPr>
        <w:t>。优化退役军人就业安置服务，加强职业技能培训和就业指导，为退役军人创业提供全链条服务，实现高质量安置。</w:t>
      </w:r>
    </w:p>
    <w:p w14:paraId="2596D13A">
      <w:pPr>
        <w:pStyle w:val="15"/>
        <w:keepNext w:val="0"/>
        <w:keepLines w:val="0"/>
        <w:pageBreakBefore w:val="0"/>
        <w:wordWrap/>
        <w:topLinePunct w:val="0"/>
        <w:bidi w:val="0"/>
        <w:spacing w:line="560" w:lineRule="exact"/>
        <w:ind w:firstLine="643"/>
      </w:pPr>
      <w:r>
        <w:rPr>
          <w:rFonts w:hint="eastAsia"/>
          <w:b/>
          <w:bCs/>
        </w:rPr>
        <w:t>激发创新创业带动就业动能。</w:t>
      </w:r>
      <w:r>
        <w:rPr>
          <w:rFonts w:hint="eastAsia"/>
        </w:rPr>
        <w:t>升级创新创业孵化载体，加强与高校合作，打造创新资源综合“枢纽”——“大学城高校联盟会客厅”，集聚高校成果发布、创新创业项目路演、基金匹配、展览展示、活动举办等功能，链接西部创新园、西城软件园等创新创业载体及产业园区，构建创新创业全链条支持体系。加强人才引进与培育，发挥高校师生集聚资源优势，定期举办大学城“创客嘉年华”、创业大赛等活动，建立“靶向式”“订单式”校企人才培养机制，推行“高校人才驿站”制度。打造创业服务平台，提供工商注册、税务申报、法律咨询等一站式服务，营造良好创业生活环境，筑牢特色就业基本盘，累计提供高质量就业岗位</w:t>
      </w:r>
      <w:r>
        <w:rPr>
          <w:rFonts w:hint="eastAsia" w:ascii="仿宋_GB2312"/>
        </w:rPr>
        <w:t>2万</w:t>
      </w:r>
      <w:r>
        <w:rPr>
          <w:rFonts w:hint="eastAsia"/>
        </w:rPr>
        <w:t>余个。</w:t>
      </w:r>
    </w:p>
    <w:p w14:paraId="5025136F">
      <w:pPr>
        <w:keepNext w:val="0"/>
        <w:keepLines w:val="0"/>
        <w:pageBreakBefore w:val="0"/>
        <w:wordWrap/>
        <w:topLinePunct w:val="0"/>
        <w:bidi w:val="0"/>
        <w:spacing w:line="560" w:lineRule="exact"/>
        <w:ind w:firstLine="643"/>
      </w:pPr>
      <w:r>
        <w:rPr>
          <w:rFonts w:hint="eastAsia"/>
          <w:b/>
          <w:bCs/>
        </w:rPr>
        <w:t>完善收入分配保障制度。</w:t>
      </w:r>
      <w:r>
        <w:rPr>
          <w:rFonts w:hint="eastAsia"/>
        </w:rPr>
        <w:t>健全工资正常增长机制，定期调整最低工资标准，推动一线劳动者工资水平稳步提升。促进农村居民增收致富，依托马山锦鲤、五峰大樱桃、张夏御杏等特色资源，打造乡村旅游片区。实施农村电商培育工程，打通农产品销售“最后一公里”，推动长清茶、灵岩御菊、十八里古道小米等农产品线上销售，增加农村居民财产性收入。扩大中等收入群体规模，重点扶持技能人才、创业带头人、高校毕业生等群体增收，推动城乡居民收入倍差持续缩小。规范收入分配秩序，依法保护合法收入，清理规范隐性收入，健全社会保障和转移支付制度，保障低收入群体基本生活并稳步增收。</w:t>
      </w:r>
    </w:p>
    <w:p w14:paraId="2D0E5826">
      <w:pPr>
        <w:pStyle w:val="4"/>
        <w:keepNext w:val="0"/>
        <w:keepLines w:val="0"/>
        <w:pageBreakBefore w:val="0"/>
        <w:wordWrap/>
        <w:topLinePunct w:val="0"/>
        <w:bidi w:val="0"/>
        <w:spacing w:line="560" w:lineRule="exact"/>
      </w:pPr>
      <w:bookmarkStart w:id="174" w:name="_Toc233272401"/>
      <w:bookmarkStart w:id="175" w:name="_Toc2019560214"/>
      <w:bookmarkStart w:id="176" w:name="_Toc2061034776"/>
      <w:r>
        <w:rPr>
          <w:rFonts w:hint="eastAsia"/>
        </w:rPr>
        <w:t>第二节  推进教育优质均衡发展</w:t>
      </w:r>
      <w:bookmarkEnd w:id="174"/>
      <w:bookmarkEnd w:id="175"/>
      <w:bookmarkEnd w:id="176"/>
    </w:p>
    <w:p w14:paraId="22D13755">
      <w:pPr>
        <w:keepNext w:val="0"/>
        <w:keepLines w:val="0"/>
        <w:pageBreakBefore w:val="0"/>
        <w:wordWrap/>
        <w:topLinePunct w:val="0"/>
        <w:bidi w:val="0"/>
        <w:spacing w:line="560" w:lineRule="exact"/>
        <w:ind w:firstLine="640"/>
      </w:pPr>
      <w:r>
        <w:rPr>
          <w:rFonts w:hint="eastAsia"/>
        </w:rPr>
        <w:t>“十五五”时期，着力构建体系完整、质量一流、特色鲜明、充满活力的现代化“教育强区”，基础教育优质均衡发展水平显著提升，职业教育与高等教育产教融合创新能力持续增强，高素质专业化师资队伍建设成效凸显，教育数字化转型升级稳步推进，形成教育与区域经济社会发展同频共振的良好生态。</w:t>
      </w:r>
    </w:p>
    <w:p w14:paraId="3A87632B">
      <w:pPr>
        <w:keepNext w:val="0"/>
        <w:keepLines w:val="0"/>
        <w:pageBreakBefore w:val="0"/>
        <w:wordWrap/>
        <w:topLinePunct w:val="0"/>
        <w:bidi w:val="0"/>
        <w:spacing w:line="560" w:lineRule="exact"/>
        <w:ind w:firstLine="643"/>
      </w:pPr>
      <w:r>
        <w:rPr>
          <w:b/>
          <w:bCs/>
        </w:rPr>
        <w:t>优化教育资源布局配置。</w:t>
      </w:r>
      <w:r>
        <w:t>依据人口变化和城镇化</w:t>
      </w:r>
      <w:r>
        <w:rPr>
          <w:rFonts w:hint="eastAsia"/>
        </w:rPr>
        <w:t>进程</w:t>
      </w:r>
      <w:r>
        <w:t>，科学划定学区范围</w:t>
      </w:r>
      <w:r>
        <w:rPr>
          <w:rFonts w:hint="eastAsia"/>
        </w:rPr>
        <w:t>、</w:t>
      </w:r>
      <w:r>
        <w:t>预测学位需求，动态调整优化中小学和幼儿园布局规划</w:t>
      </w:r>
      <w:r>
        <w:rPr>
          <w:rFonts w:hint="eastAsia"/>
        </w:rPr>
        <w:t>，</w:t>
      </w:r>
      <w:r>
        <w:t>推进农村小规模学校整合与城区学位扩容并行</w:t>
      </w:r>
      <w:r>
        <w:rPr>
          <w:rFonts w:hint="eastAsia"/>
        </w:rPr>
        <w:t>，探索“小班化”教学改革</w:t>
      </w:r>
      <w:r>
        <w:t>。</w:t>
      </w:r>
      <w:r>
        <w:rPr>
          <w:rFonts w:hint="eastAsia"/>
        </w:rPr>
        <w:t>深</w:t>
      </w:r>
      <w:r>
        <w:t>化集团化办学体制改革，</w:t>
      </w:r>
      <w:r>
        <w:rPr>
          <w:rFonts w:hint="eastAsia"/>
        </w:rPr>
        <w:t>实现</w:t>
      </w:r>
      <w:r>
        <w:t>联盟校、集团化办学全覆盖，通过优质校带薄弱校、教师走教等方式，缩小校际差异，</w:t>
      </w:r>
      <w:r>
        <w:rPr>
          <w:rFonts w:hint="eastAsia"/>
        </w:rPr>
        <w:t>推动</w:t>
      </w:r>
      <w:r>
        <w:t>资源共享、管理互通。强化教育资源统筹整合，充分</w:t>
      </w:r>
      <w:r>
        <w:rPr>
          <w:rFonts w:hint="eastAsia"/>
        </w:rPr>
        <w:t>发挥</w:t>
      </w:r>
      <w:r>
        <w:t>大学城资源优势，</w:t>
      </w:r>
      <w:r>
        <w:rPr>
          <w:rFonts w:hint="eastAsia"/>
        </w:rPr>
        <w:t>促进高校资源向基础教育有效转化</w:t>
      </w:r>
      <w:r>
        <w:t>，推动高校优质师资、科研平台、实践基地向基础教育延伸，打造校地融合教育发展新模式。</w:t>
      </w:r>
    </w:p>
    <w:p w14:paraId="1ED04D7F">
      <w:pPr>
        <w:keepNext w:val="0"/>
        <w:keepLines w:val="0"/>
        <w:pageBreakBefore w:val="0"/>
        <w:wordWrap/>
        <w:topLinePunct w:val="0"/>
        <w:bidi w:val="0"/>
        <w:spacing w:line="560" w:lineRule="exact"/>
        <w:ind w:firstLine="643"/>
      </w:pPr>
      <w:r>
        <w:rPr>
          <w:rFonts w:hint="eastAsia"/>
          <w:b/>
          <w:bCs/>
        </w:rPr>
        <w:t>全面提升教育教学质量。</w:t>
      </w:r>
      <w:r>
        <w:rPr>
          <w:rFonts w:hint="eastAsia"/>
        </w:rPr>
        <w:t>实施新时代立德树人工程，全面推进大中小学思政教育一体化建设，依托大峰山革命旧址、齐长城、黄河文化等本土资源，实施思政课程开发工程，促进思政课堂和社会课堂有效融合。推动普通高中多样化特色发展，探索特色化办学路径，</w:t>
      </w:r>
      <w:r>
        <w:t>立足奥赛强基及艺术、体育等特色，</w:t>
      </w:r>
      <w:r>
        <w:rPr>
          <w:rFonts w:hint="eastAsia"/>
        </w:rPr>
        <w:t>实施高中生“脱颖计划”，推进</w:t>
      </w:r>
      <w:r>
        <w:t>创新拔尖人才培养</w:t>
      </w:r>
      <w:r>
        <w:rPr>
          <w:rFonts w:hint="eastAsia"/>
        </w:rPr>
        <w:t>。促进职业教育提质培优，</w:t>
      </w:r>
      <w:r>
        <w:t>探索公办高中与中职学校职普融通</w:t>
      </w:r>
      <w:r>
        <w:rPr>
          <w:rFonts w:hint="eastAsia"/>
        </w:rPr>
        <w:t>，</w:t>
      </w:r>
      <w:r>
        <w:t>分类打造“贯通式教育集群、直管式教育集团、协同式教育联盟”办学模式。</w:t>
      </w:r>
      <w:r>
        <w:rPr>
          <w:rFonts w:hint="eastAsia"/>
        </w:rPr>
        <w:t>重点加强新教师、骨干教师和乡村教师培训，持续推动名师、名校长和名班主任培育，带动区域教师队伍整体水平提升。建成一批引领教学的数字化实验室、虚拟仿真实验室和智慧教室，推动人工智能、大数据等技术在教学、管理及评价中的深度融合与应用。</w:t>
      </w:r>
    </w:p>
    <w:p w14:paraId="4DE49D7A">
      <w:pPr>
        <w:keepNext w:val="0"/>
        <w:keepLines w:val="0"/>
        <w:pageBreakBefore w:val="0"/>
        <w:wordWrap/>
        <w:topLinePunct w:val="0"/>
        <w:bidi w:val="0"/>
        <w:spacing w:line="560" w:lineRule="exact"/>
        <w:ind w:firstLine="643"/>
      </w:pPr>
      <w:r>
        <w:rPr>
          <w:rFonts w:hint="eastAsia"/>
          <w:b/>
          <w:bCs/>
        </w:rPr>
        <w:t>增强教育服务发展能力。</w:t>
      </w:r>
      <w:r>
        <w:rPr>
          <w:rFonts w:hint="eastAsia"/>
        </w:rPr>
        <w:t>强化街道（镇）驻地学校的辐射带动作用，推动城乡教育共同体建设，通过集团化办学、学区制管理、结对帮扶等形式，促进城乡学校一体化发展，打造兼具现代气息与田园特色的乡村学校，开发乡土课程，开展耕读教育，服务乡村文化建设与人才培养。推动职业教育与区域产业深度融合，支持职业院校对接新能源装备、汽车等区内主导产业，推动职业院校课程内容与职业标准、生产过程精准对接，联合企业共建产业学院、高水平实训基地，实施“订单式”人才培养，培育更多适配区域产业发展的技术技能人才。强化高等教育服务区域发展效能，依托长清大学城优势，深化校地校企协同创新，共建产业学院、技术创新中心和成果转化平台。建立高校科研成果本地转化激励机制，推动更多高校创新成果在长清落地孵化、产业化应用，促进教育链、人才链与产业链、创新链深度衔接。</w:t>
      </w:r>
    </w:p>
    <w:p w14:paraId="42AFEA70">
      <w:pPr>
        <w:pStyle w:val="4"/>
        <w:keepNext w:val="0"/>
        <w:keepLines w:val="0"/>
        <w:pageBreakBefore w:val="0"/>
        <w:wordWrap/>
        <w:topLinePunct w:val="0"/>
        <w:bidi w:val="0"/>
        <w:spacing w:line="560" w:lineRule="exact"/>
        <w:rPr>
          <w:rFonts w:hint="eastAsia"/>
        </w:rPr>
      </w:pPr>
      <w:bookmarkStart w:id="177" w:name="_Toc1115190890"/>
      <w:bookmarkStart w:id="178" w:name="_Toc233272402"/>
      <w:bookmarkStart w:id="179" w:name="_Toc1132960040"/>
    </w:p>
    <w:p w14:paraId="2C97098C">
      <w:pPr>
        <w:pStyle w:val="4"/>
        <w:keepNext w:val="0"/>
        <w:keepLines w:val="0"/>
        <w:pageBreakBefore w:val="0"/>
        <w:wordWrap/>
        <w:topLinePunct w:val="0"/>
        <w:bidi w:val="0"/>
        <w:spacing w:line="560" w:lineRule="exact"/>
      </w:pPr>
      <w:r>
        <w:rPr>
          <w:rFonts w:hint="eastAsia"/>
        </w:rPr>
        <w:t>第三节  完善公共卫生服务体系</w:t>
      </w:r>
      <w:bookmarkEnd w:id="177"/>
      <w:bookmarkEnd w:id="178"/>
      <w:bookmarkEnd w:id="179"/>
    </w:p>
    <w:p w14:paraId="588CED60">
      <w:pPr>
        <w:keepNext w:val="0"/>
        <w:keepLines w:val="0"/>
        <w:pageBreakBefore w:val="0"/>
        <w:wordWrap/>
        <w:topLinePunct w:val="0"/>
        <w:bidi w:val="0"/>
        <w:spacing w:line="560" w:lineRule="exact"/>
        <w:ind w:firstLine="640"/>
      </w:pPr>
      <w:r>
        <w:rPr>
          <w:rFonts w:hint="eastAsia"/>
        </w:rPr>
        <w:t>“十五五”时期，以人民健康为中心，构建医防协同、覆盖全民、优质高效的现代化公共卫生服务体系，实现区域医疗资源配置更加均衡、公共卫生保障能力显著增强、全民健康管理水平持续提升。</w:t>
      </w:r>
    </w:p>
    <w:p w14:paraId="092A23D2">
      <w:pPr>
        <w:keepNext w:val="0"/>
        <w:keepLines w:val="0"/>
        <w:pageBreakBefore w:val="0"/>
        <w:wordWrap/>
        <w:topLinePunct w:val="0"/>
        <w:bidi w:val="0"/>
        <w:spacing w:line="560" w:lineRule="exact"/>
        <w:ind w:firstLine="643"/>
      </w:pPr>
      <w:r>
        <w:rPr>
          <w:rFonts w:hint="eastAsia"/>
          <w:b/>
          <w:bCs/>
        </w:rPr>
        <w:t>提升医疗卫生服务能力，构建分级诊疗新格局。</w:t>
      </w:r>
      <w:r>
        <w:rPr>
          <w:rFonts w:hint="eastAsia"/>
        </w:rPr>
        <w:t>加快推进区级公立医院服务能力提升，强化区级医疗服务供给，推进区人民医院感染性疾病楼项目、区中医医院改造提升项目建设，同步完善医疗设备等配套设施，为全面提升区级公立医院服务能力提供硬件支持。聚焦心脑血管、肿瘤、老年医学、康复医学等重点领域，通过投入资源、人才培养、引进技术等打造一批市级以上临床重点专科，提升综合诊疗能力。推动紧密型县域医共体建设，整合区、街道（镇）、村三级医疗资源，实现医学检验、影像诊断等区域共享中心全覆盖，推动人才、技术、管理垂直下沉。全面提高基层公共卫生、全科医学、中医药等服务能力，逐步开展相应的住院服务和适宜手术，满足当地常见病、多发病诊治需求。夯实基层医疗服务网底，持续改善基础设施、设备条件，依托“互联网+医疗健康”平台推广远程会诊，构建15分钟健康服务圈。</w:t>
      </w:r>
    </w:p>
    <w:p w14:paraId="71931C8C">
      <w:pPr>
        <w:pStyle w:val="15"/>
        <w:keepNext w:val="0"/>
        <w:keepLines w:val="0"/>
        <w:pageBreakBefore w:val="0"/>
        <w:wordWrap/>
        <w:topLinePunct w:val="0"/>
        <w:bidi w:val="0"/>
        <w:spacing w:line="560" w:lineRule="exact"/>
        <w:ind w:firstLine="643"/>
        <w:rPr>
          <w:rFonts w:ascii="仿宋_GB2312"/>
        </w:rPr>
      </w:pPr>
      <w:r>
        <w:rPr>
          <w:rFonts w:hint="eastAsia" w:ascii="仿宋_GB2312"/>
          <w:b/>
          <w:bCs/>
        </w:rPr>
        <w:t>聚焦医防协同，提升疾病预防与公共卫生应急能力。</w:t>
      </w:r>
      <w:r>
        <w:rPr>
          <w:rFonts w:hint="eastAsia" w:ascii="仿宋_GB2312"/>
        </w:rPr>
        <w:t>提升传染病综合防控效能，推动区疾控中心实验室升级改造，提升实验室检测能力和未知病原快速鉴定能力。推动部门公共卫生数据共享，加强对传染病疫情、食源性疾病、地方病风险因素、环境健康危害因素的监测与动态分析，加强结核病、艾滋病、地方病等重大疾病防治工作，提升公共卫生风险感知能力。深化医防协同，推动临床医疗与公共卫生服务深度融合，进一步完善区疾控中心、医疗机构间的人员流动、交叉培训、服务融合、信息共享等机制，形成“疾控-医院-社区”三位一体的慢性病和传染病防治新模式。提升卫生应急能力，进一步加强院前医疗急救服务体系建设，合理设置急救站点，缩短急救反应时间，满足群众医疗急救需求。全面推进全区急救网络医院救护车“5G+”升级改造，实现救护车辆与急救指挥系统、医疗机构的数据互联互通。</w:t>
      </w:r>
    </w:p>
    <w:p w14:paraId="4BE85011">
      <w:pPr>
        <w:keepNext w:val="0"/>
        <w:keepLines w:val="0"/>
        <w:pageBreakBefore w:val="0"/>
        <w:wordWrap/>
        <w:topLinePunct w:val="0"/>
        <w:bidi w:val="0"/>
        <w:spacing w:line="560" w:lineRule="exact"/>
        <w:ind w:firstLine="643"/>
      </w:pPr>
      <w:r>
        <w:rPr>
          <w:rFonts w:hint="eastAsia"/>
          <w:b/>
          <w:bCs/>
        </w:rPr>
        <w:t>建立健全全周期健康服务，</w:t>
      </w:r>
      <w:r>
        <w:rPr>
          <w:b/>
          <w:bCs/>
        </w:rPr>
        <w:t>打造中医药特色康养体系</w:t>
      </w:r>
      <w:r>
        <w:rPr>
          <w:rFonts w:hint="eastAsia"/>
          <w:b/>
          <w:bCs/>
        </w:rPr>
        <w:t>。</w:t>
      </w:r>
      <w:r>
        <w:rPr>
          <w:rFonts w:hint="eastAsia"/>
        </w:rPr>
        <w:t>完善医养结合服务网络，推进长期护理保险试点，强化健康教育队伍服务能力，加强慢性病管理与健康促进。扩大老年健康服务供给，健全老年健康危险因素干预、疾病早发现早诊断早治疗、失能预防三级预防体系。大力发展普惠托育服务体系，促进3岁以下婴幼儿照护服务专业化、规范化发展。提升心理健康和精神卫生服务能力，完善心理健康服务体系，推进心理健康服务全面融入社会治理。强化心理救援队伍建设，健全危机干预机制，加强严重精神障碍患者服务管理。提升中医药防治能力，加强中医药服务网络建设。推动综合医院中西医协同发展，夯实街道（镇）医疗卫生机构中医药服务基础，实现社区卫生服务中心和街道（镇）卫生院中医馆全覆盖，并支持部分卫生院开展服务内涵建设，重点加强中医药人员配备、中医药技术服务提供和中医设备配备。到2030年，区中医医院中医药服务特色更加突出，区人民医院进一步强化中医药诊疗能力，推动中西医协同诊疗模式常态化、规范化。各街道（镇）卫生院中医馆实现服务提质增效，村卫生室建成“中医阁”的比例不低于30%。推动中医药融入健康管理，促进中医药生活化，推广中医体质辨识、节气食疗、传统功法等养生理念，依托中医药文化夜市、社区药膳食疗体验站等载体，将中医药健康文化融入日常生活。</w:t>
      </w:r>
    </w:p>
    <w:p w14:paraId="603CDFBB">
      <w:pPr>
        <w:pStyle w:val="4"/>
        <w:keepNext w:val="0"/>
        <w:keepLines w:val="0"/>
        <w:pageBreakBefore w:val="0"/>
        <w:wordWrap/>
        <w:topLinePunct w:val="0"/>
        <w:bidi w:val="0"/>
        <w:spacing w:line="560" w:lineRule="exact"/>
      </w:pPr>
      <w:bookmarkStart w:id="180" w:name="_Toc1993262947"/>
      <w:bookmarkStart w:id="181" w:name="_Toc233272403"/>
      <w:bookmarkStart w:id="182" w:name="_Toc1513385462"/>
      <w:r>
        <w:rPr>
          <w:rFonts w:hint="eastAsia"/>
        </w:rPr>
        <w:t>第四节  切实提升社会保障水平</w:t>
      </w:r>
      <w:bookmarkEnd w:id="180"/>
      <w:bookmarkEnd w:id="181"/>
      <w:bookmarkEnd w:id="182"/>
    </w:p>
    <w:p w14:paraId="6E963C9F">
      <w:pPr>
        <w:pStyle w:val="15"/>
        <w:keepNext w:val="0"/>
        <w:keepLines w:val="0"/>
        <w:pageBreakBefore w:val="0"/>
        <w:wordWrap/>
        <w:topLinePunct w:val="0"/>
        <w:bidi w:val="0"/>
        <w:spacing w:line="560" w:lineRule="exact"/>
        <w:ind w:firstLine="640"/>
        <w:rPr>
          <w:rFonts w:ascii="仿宋_GB2312"/>
        </w:rPr>
      </w:pPr>
      <w:r>
        <w:rPr>
          <w:rFonts w:hint="eastAsia" w:ascii="仿宋_GB2312"/>
        </w:rPr>
        <w:t>“十五五”时期，以健全多层次社会保障体系为支撑，以促进人口长期均衡发展为主线，以完善住房供应与保障为依托，统筹推进全龄友好型社会建设。力争到2030年，覆盖全民、城乡统筹、权责清晰、保障适度的社会保障体系更加完善；养老托育服务体系持续优化，形成覆盖全生命周期的友好宜居环境；保障性住房供给结构显著改善，群众住房需求得到更好满足。</w:t>
      </w:r>
    </w:p>
    <w:p w14:paraId="2F51524D">
      <w:pPr>
        <w:keepNext w:val="0"/>
        <w:keepLines w:val="0"/>
        <w:pageBreakBefore w:val="0"/>
        <w:wordWrap/>
        <w:topLinePunct w:val="0"/>
        <w:bidi w:val="0"/>
        <w:spacing w:line="560" w:lineRule="exact"/>
        <w:ind w:firstLine="643"/>
      </w:pPr>
      <w:r>
        <w:rPr>
          <w:rFonts w:hint="eastAsia"/>
          <w:b/>
          <w:bCs/>
        </w:rPr>
        <w:t>完善多层次社会保障体系。</w:t>
      </w:r>
      <w:r>
        <w:rPr>
          <w:rFonts w:hint="eastAsia"/>
        </w:rPr>
        <w:t>完善养老保险体系，提高企业年金覆盖率，优化灵活就业人员参保服务，鼓励引导农民工、新就业形态从业人员等群体参加企业职工基本养老保险。积极稳妥实施个人养老金制度，落实渐进式延迟退休年龄政策，统筹有序提高退休人员基本养老金和城乡居民基础养老金标准。完善医疗保险体系，落实门诊慢特病、门诊统筹、医疗救助等医保惠民政策，扩大门诊报销范围，降低群众医药负担。全面实施城乡居民大病保险制度，完善基本医保、大病保险与医疗救助三重保障功能。强化失业、工伤保险保障，扩大失业保险保障范围，完善失业保险金标准与物价上涨挂钩联动机制。扩大工伤保险覆盖面，实现新就业形态从业人员应保尽保。加大重点群体保障力度，扩大“两癌”筛查、残疾人康复服务等覆盖面，完善困境儿童保障和农村留守儿童关爱服务体系。提高基本殡葬服务供给能力和服务水平。引导、支持有意愿有能力的企业、社会组织和个人积极参与公益慈善事业，发挥慈善事业在第三次分配中的作用，促进慈善事业长期健康发展。</w:t>
      </w:r>
    </w:p>
    <w:p w14:paraId="5B7F1376">
      <w:pPr>
        <w:pStyle w:val="15"/>
        <w:keepNext w:val="0"/>
        <w:keepLines w:val="0"/>
        <w:pageBreakBefore w:val="0"/>
        <w:wordWrap/>
        <w:topLinePunct w:val="0"/>
        <w:bidi w:val="0"/>
        <w:spacing w:line="560" w:lineRule="exact"/>
        <w:ind w:firstLine="643"/>
        <w:rPr>
          <w:rFonts w:ascii="仿宋_GB2312"/>
        </w:rPr>
      </w:pPr>
      <w:r>
        <w:rPr>
          <w:b/>
          <w:bCs/>
        </w:rPr>
        <w:t>建设全龄友好型社会</w:t>
      </w:r>
      <w:r>
        <w:rPr>
          <w:rFonts w:hint="eastAsia"/>
          <w:b/>
          <w:bCs/>
        </w:rPr>
        <w:t>。</w:t>
      </w:r>
      <w:r>
        <w:rPr>
          <w:rFonts w:hint="eastAsia" w:ascii="仿宋_GB2312"/>
        </w:rPr>
        <w:t>以人的全生命周期需求为导向，完善人口服务体系，统筹推进各年龄段群体服务保障体系建设。营造生育友好环境，落实优化生育政策配套举措，扩大普惠托育服务供给，保障女性就业合法权益，构建“家庭-社区-机构”三位一体托育服务网络。构建儿童友好空间，优化中小学、幼儿园布局规划，推进义务教育优质均衡发展，健全未成年人保护网络。增强青年发展动能，依托大学城产学研融合优势，打造人才集聚新高地，聚焦青年婚育安居、生活品质、社会融入需求，扩大保障性租赁住房供给，拓展高校毕业生就业创业渠道，搭建青年社交与成长服务平台。提升老年服务品质，加快公共空间适老化改造，深化医养结合发展，加大居家养老支持力度，健全失能失智老年人照护体系，扩大生活照料、康复护理、安宁疗护服务供给。鼓励社会资本参与养老机构建设，发展旅居养老、智慧养老等新业态，满足多样化养老需求。</w:t>
      </w:r>
    </w:p>
    <w:p w14:paraId="5720BD53">
      <w:pPr>
        <w:pStyle w:val="15"/>
        <w:keepNext w:val="0"/>
        <w:keepLines w:val="0"/>
        <w:pageBreakBefore w:val="0"/>
        <w:wordWrap/>
        <w:topLinePunct w:val="0"/>
        <w:bidi w:val="0"/>
        <w:spacing w:line="560" w:lineRule="exact"/>
        <w:ind w:firstLine="643"/>
      </w:pPr>
      <w:r>
        <w:rPr>
          <w:rFonts w:hint="eastAsia"/>
          <w:b/>
          <w:bCs/>
        </w:rPr>
        <w:t>强化住房保障。</w:t>
      </w:r>
      <w:r>
        <w:rPr>
          <w:rFonts w:hint="eastAsia"/>
        </w:rPr>
        <w:t>加强房地产项目全周期管理，规范开发、销售、交付等环节行为，保障购房者合法权益。加强房地产市场监测预警，防范化解市场风险，维护市场平稳运行。加大保障性住房供给，优化保障性住房布局，优先在产业园区、重要交通交汇处周边规划建设保障性住房，有序推进石马名甲庄、大刘冷庄等城中村改造安置房建设，改善农村住房条件，保障农村困难群众住房安全。提升住房建设品质，优化住房供给结构，加大优质房供给，建设低碳环保、智慧便捷的高品质住宅，满足多样化住房需求。改善老旧小区居住环境，打造宜居舒适的居住空间。</w:t>
      </w:r>
    </w:p>
    <w:tbl>
      <w:tblPr>
        <w:tblStyle w:val="17"/>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9288"/>
      </w:tblGrid>
      <w:tr w14:paraId="07774A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288" w:type="dxa"/>
          </w:tcPr>
          <w:p w14:paraId="0FB01B0E">
            <w:pPr>
              <w:keepNext w:val="0"/>
              <w:keepLines w:val="0"/>
              <w:pageBreakBefore w:val="0"/>
              <w:wordWrap/>
              <w:topLinePunct w:val="0"/>
              <w:bidi w:val="0"/>
              <w:spacing w:line="560" w:lineRule="exact"/>
              <w:ind w:firstLine="600"/>
              <w:jc w:val="center"/>
              <w:rPr>
                <w:rFonts w:ascii="黑体" w:hAnsi="黑体" w:eastAsia="黑体" w:cs="黑体"/>
                <w:sz w:val="30"/>
                <w:szCs w:val="30"/>
              </w:rPr>
            </w:pPr>
            <w:r>
              <w:rPr>
                <w:rFonts w:hint="eastAsia" w:ascii="黑体" w:hAnsi="黑体" w:eastAsia="黑体" w:cs="黑体"/>
                <w:sz w:val="30"/>
                <w:szCs w:val="30"/>
              </w:rPr>
              <w:t>专栏10 社会民生重点项目</w:t>
            </w:r>
          </w:p>
          <w:p w14:paraId="0D4971F2">
            <w:pPr>
              <w:pStyle w:val="5"/>
              <w:keepNext w:val="0"/>
              <w:keepLines w:val="0"/>
              <w:pageBreakBefore w:val="0"/>
              <w:wordWrap/>
              <w:topLinePunct w:val="0"/>
              <w:bidi w:val="0"/>
              <w:spacing w:after="0" w:line="560" w:lineRule="exact"/>
              <w:ind w:firstLine="560"/>
              <w:textAlignment w:val="baseline"/>
              <w:rPr>
                <w:rFonts w:ascii="楷体_GB2312" w:hAnsi="楷体_GB2312" w:eastAsia="楷体_GB2312" w:cs="楷体_GB2312"/>
                <w:sz w:val="28"/>
                <w:szCs w:val="28"/>
              </w:rPr>
            </w:pPr>
            <w:r>
              <w:rPr>
                <w:rFonts w:ascii="楷体_GB2312" w:hAnsi="楷体_GB2312" w:eastAsia="楷体_GB2312" w:cs="楷体_GB2312"/>
                <w:sz w:val="28"/>
                <w:szCs w:val="28"/>
              </w:rPr>
              <w:t>新青年保障性租赁住房项目</w:t>
            </w:r>
            <w:r>
              <w:rPr>
                <w:rFonts w:hint="eastAsia" w:ascii="楷体_GB2312" w:hAnsi="楷体_GB2312" w:eastAsia="楷体_GB2312" w:cs="楷体_GB2312"/>
                <w:sz w:val="28"/>
                <w:szCs w:val="28"/>
              </w:rPr>
              <w:t>、</w:t>
            </w:r>
            <w:r>
              <w:rPr>
                <w:rFonts w:ascii="楷体_GB2312" w:hAnsi="楷体_GB2312" w:eastAsia="楷体_GB2312" w:cs="楷体_GB2312"/>
                <w:sz w:val="28"/>
                <w:szCs w:val="28"/>
              </w:rPr>
              <w:t>大学城创新区项目(Apa28</w:t>
            </w:r>
            <w:r>
              <w:rPr>
                <w:rFonts w:hint="eastAsia" w:ascii="楷体_GB2312" w:hAnsi="楷体_GB2312" w:eastAsia="楷体_GB2312" w:cs="楷体_GB2312"/>
                <w:sz w:val="28"/>
                <w:szCs w:val="28"/>
              </w:rPr>
              <w:t>-</w:t>
            </w:r>
            <w:r>
              <w:rPr>
                <w:rFonts w:ascii="楷体_GB2312" w:hAnsi="楷体_GB2312" w:eastAsia="楷体_GB2312" w:cs="楷体_GB2312"/>
                <w:sz w:val="28"/>
                <w:szCs w:val="28"/>
              </w:rPr>
              <w:t>25、Apa28</w:t>
            </w:r>
            <w:r>
              <w:rPr>
                <w:rFonts w:hint="eastAsia" w:ascii="楷体_GB2312" w:hAnsi="楷体_GB2312" w:eastAsia="楷体_GB2312" w:cs="楷体_GB2312"/>
                <w:sz w:val="28"/>
                <w:szCs w:val="28"/>
              </w:rPr>
              <w:t>-</w:t>
            </w:r>
            <w:r>
              <w:rPr>
                <w:rFonts w:ascii="楷体_GB2312" w:hAnsi="楷体_GB2312" w:eastAsia="楷体_GB2312" w:cs="楷体_GB2312"/>
                <w:sz w:val="28"/>
                <w:szCs w:val="28"/>
              </w:rPr>
              <w:t>27地块)</w:t>
            </w:r>
            <w:r>
              <w:rPr>
                <w:rFonts w:hint="eastAsia" w:ascii="楷体_GB2312" w:hAnsi="楷体_GB2312" w:eastAsia="楷体_GB2312" w:cs="楷体_GB2312"/>
                <w:sz w:val="28"/>
                <w:szCs w:val="28"/>
              </w:rPr>
              <w:t>、</w:t>
            </w:r>
            <w:r>
              <w:rPr>
                <w:rFonts w:ascii="楷体_GB2312" w:hAnsi="楷体_GB2312" w:eastAsia="楷体_GB2312" w:cs="楷体_GB2312"/>
                <w:sz w:val="28"/>
                <w:szCs w:val="28"/>
              </w:rPr>
              <w:t>石马名甲庄二村整合城中村改造</w:t>
            </w:r>
            <w:r>
              <w:rPr>
                <w:rFonts w:hint="eastAsia" w:ascii="楷体_GB2312" w:hAnsi="楷体_GB2312" w:eastAsia="楷体_GB2312" w:cs="楷体_GB2312"/>
                <w:sz w:val="28"/>
                <w:szCs w:val="28"/>
              </w:rPr>
              <w:t>、</w:t>
            </w:r>
            <w:r>
              <w:rPr>
                <w:rFonts w:ascii="楷体_GB2312" w:hAnsi="楷体_GB2312" w:eastAsia="楷体_GB2312" w:cs="楷体_GB2312"/>
                <w:sz w:val="28"/>
                <w:szCs w:val="28"/>
              </w:rPr>
              <w:t>山东济清盛远富美路A1A2地块项目（大学城）</w:t>
            </w:r>
            <w:r>
              <w:rPr>
                <w:rFonts w:hint="eastAsia" w:ascii="楷体_GB2312" w:hAnsi="楷体_GB2312" w:eastAsia="楷体_GB2312" w:cs="楷体_GB2312"/>
                <w:sz w:val="28"/>
                <w:szCs w:val="28"/>
              </w:rPr>
              <w:t>、</w:t>
            </w:r>
            <w:r>
              <w:rPr>
                <w:rFonts w:ascii="楷体_GB2312" w:hAnsi="楷体_GB2312" w:eastAsia="楷体_GB2312" w:cs="楷体_GB2312"/>
                <w:sz w:val="28"/>
                <w:szCs w:val="28"/>
              </w:rPr>
              <w:t>长清区中医医院东院区建设</w:t>
            </w:r>
            <w:r>
              <w:rPr>
                <w:rFonts w:hint="eastAsia" w:ascii="楷体_GB2312" w:hAnsi="楷体_GB2312" w:eastAsia="楷体_GB2312" w:cs="楷体_GB2312"/>
                <w:sz w:val="28"/>
                <w:szCs w:val="28"/>
              </w:rPr>
              <w:t>、</w:t>
            </w:r>
            <w:r>
              <w:rPr>
                <w:rFonts w:ascii="楷体_GB2312" w:hAnsi="楷体_GB2312" w:eastAsia="楷体_GB2312" w:cs="楷体_GB2312"/>
                <w:sz w:val="28"/>
                <w:szCs w:val="28"/>
              </w:rPr>
              <w:t>南山园公墓项目</w:t>
            </w:r>
            <w:r>
              <w:rPr>
                <w:rFonts w:hint="eastAsia" w:ascii="楷体_GB2312" w:hAnsi="楷体_GB2312" w:eastAsia="楷体_GB2312" w:cs="楷体_GB2312"/>
                <w:sz w:val="28"/>
                <w:szCs w:val="28"/>
              </w:rPr>
              <w:t>、</w:t>
            </w:r>
            <w:r>
              <w:rPr>
                <w:rFonts w:ascii="楷体_GB2312" w:hAnsi="楷体_GB2312" w:eastAsia="楷体_GB2312" w:cs="楷体_GB2312"/>
                <w:sz w:val="28"/>
                <w:szCs w:val="28"/>
              </w:rPr>
              <w:t>养老服务中心建设项目</w:t>
            </w:r>
          </w:p>
        </w:tc>
      </w:tr>
    </w:tbl>
    <w:p w14:paraId="525BF6FB">
      <w:pPr>
        <w:keepNext w:val="0"/>
        <w:keepLines w:val="0"/>
        <w:pageBreakBefore w:val="0"/>
        <w:wordWrap/>
        <w:topLinePunct w:val="0"/>
        <w:bidi w:val="0"/>
        <w:spacing w:line="560" w:lineRule="exact"/>
        <w:ind w:firstLine="0" w:firstLineChars="0"/>
      </w:pPr>
    </w:p>
    <w:p w14:paraId="3EDBB6F3">
      <w:pPr>
        <w:keepNext w:val="0"/>
        <w:keepLines w:val="0"/>
        <w:pageBreakBefore w:val="0"/>
        <w:wordWrap/>
        <w:topLinePunct w:val="0"/>
        <w:bidi w:val="0"/>
        <w:spacing w:line="560" w:lineRule="exact"/>
        <w:ind w:firstLine="0" w:firstLineChars="0"/>
        <w:jc w:val="center"/>
        <w:rPr>
          <w:rFonts w:ascii="黑体" w:hAnsi="黑体" w:eastAsia="黑体" w:cs="黑体"/>
          <w:szCs w:val="22"/>
        </w:rPr>
      </w:pPr>
    </w:p>
    <w:p w14:paraId="4E48A53E">
      <w:pPr>
        <w:keepNext w:val="0"/>
        <w:keepLines w:val="0"/>
        <w:pageBreakBefore w:val="0"/>
        <w:wordWrap/>
        <w:topLinePunct w:val="0"/>
        <w:bidi w:val="0"/>
        <w:spacing w:line="560" w:lineRule="exact"/>
        <w:ind w:firstLine="0" w:firstLineChars="0"/>
        <w:jc w:val="center"/>
        <w:rPr>
          <w:rFonts w:ascii="黑体" w:hAnsi="黑体" w:eastAsia="黑体" w:cs="黑体"/>
          <w:szCs w:val="22"/>
        </w:rPr>
      </w:pPr>
    </w:p>
    <w:p w14:paraId="3F4DC471">
      <w:pPr>
        <w:pStyle w:val="3"/>
        <w:keepNext w:val="0"/>
        <w:keepLines w:val="0"/>
        <w:pageBreakBefore w:val="0"/>
        <w:wordWrap/>
        <w:topLinePunct w:val="0"/>
        <w:bidi w:val="0"/>
        <w:spacing w:line="560" w:lineRule="exact"/>
      </w:pPr>
      <w:bookmarkStart w:id="183" w:name="_Toc233272404"/>
      <w:bookmarkStart w:id="184" w:name="_Toc344208317"/>
      <w:bookmarkStart w:id="185" w:name="_Toc354435062"/>
      <w:bookmarkStart w:id="186" w:name="_Toc1317592117"/>
      <w:r>
        <w:rPr>
          <w:rFonts w:hint="eastAsia"/>
        </w:rPr>
        <w:t>第十二章  全面贯彻总体国家安全观，高水平建设平安长清</w:t>
      </w:r>
      <w:bookmarkEnd w:id="183"/>
      <w:bookmarkEnd w:id="184"/>
      <w:bookmarkEnd w:id="185"/>
      <w:bookmarkEnd w:id="186"/>
    </w:p>
    <w:p w14:paraId="37F76EA6">
      <w:pPr>
        <w:keepNext w:val="0"/>
        <w:keepLines w:val="0"/>
        <w:pageBreakBefore w:val="0"/>
        <w:wordWrap/>
        <w:topLinePunct w:val="0"/>
        <w:bidi w:val="0"/>
        <w:spacing w:line="560" w:lineRule="exact"/>
        <w:ind w:firstLine="643"/>
        <w:rPr>
          <w:b/>
          <w:bCs/>
        </w:rPr>
      </w:pPr>
    </w:p>
    <w:p w14:paraId="7DE9EED8">
      <w:pPr>
        <w:keepNext w:val="0"/>
        <w:keepLines w:val="0"/>
        <w:pageBreakBefore w:val="0"/>
        <w:wordWrap/>
        <w:topLinePunct w:val="0"/>
        <w:bidi w:val="0"/>
        <w:spacing w:line="560" w:lineRule="exact"/>
        <w:ind w:firstLine="640"/>
      </w:pPr>
      <w:r>
        <w:t>以总体国家安全观为根本遵循，将维护政治安全置于首位，聚焦</w:t>
      </w:r>
      <w:r>
        <w:rPr>
          <w:rFonts w:hint="eastAsia"/>
        </w:rPr>
        <w:t>基础保障、新兴领域</w:t>
      </w:r>
      <w:r>
        <w:t>等重点领域安全，突出公共安全治理创新，旨在构建全域联动、立体高效的安全体系，实现高质量发展与高水平安全的良性互动。</w:t>
      </w:r>
    </w:p>
    <w:p w14:paraId="29D6F210">
      <w:pPr>
        <w:pStyle w:val="4"/>
        <w:keepNext w:val="0"/>
        <w:keepLines w:val="0"/>
        <w:pageBreakBefore w:val="0"/>
        <w:wordWrap/>
        <w:topLinePunct w:val="0"/>
        <w:bidi w:val="0"/>
        <w:spacing w:line="560" w:lineRule="exact"/>
      </w:pPr>
      <w:bookmarkStart w:id="187" w:name="_Toc233272405"/>
      <w:bookmarkStart w:id="188" w:name="_Toc1719776706"/>
      <w:bookmarkStart w:id="189" w:name="_Toc637176240"/>
      <w:r>
        <w:rPr>
          <w:rFonts w:hint="eastAsia"/>
        </w:rPr>
        <w:t>第一节  筑牢重点领域安全屏障，构建全域联动防护体系</w:t>
      </w:r>
      <w:bookmarkEnd w:id="187"/>
      <w:bookmarkEnd w:id="188"/>
      <w:bookmarkEnd w:id="189"/>
    </w:p>
    <w:p w14:paraId="79A86E9C">
      <w:pPr>
        <w:keepNext w:val="0"/>
        <w:keepLines w:val="0"/>
        <w:pageBreakBefore w:val="0"/>
        <w:wordWrap/>
        <w:topLinePunct w:val="0"/>
        <w:bidi w:val="0"/>
        <w:spacing w:line="560" w:lineRule="exact"/>
        <w:ind w:firstLine="640"/>
        <w:rPr>
          <w:b/>
          <w:bCs/>
        </w:rPr>
      </w:pPr>
      <w:r>
        <w:rPr>
          <w:rFonts w:hint="eastAsia"/>
        </w:rPr>
        <w:t>坚决维护政治安全根本，强化经济、社会、网络等重点领域风险防控，构建全域覆盖、反应灵敏、协同高效的防护网络。</w:t>
      </w:r>
    </w:p>
    <w:p w14:paraId="01C28310">
      <w:pPr>
        <w:keepNext w:val="0"/>
        <w:keepLines w:val="0"/>
        <w:pageBreakBefore w:val="0"/>
        <w:wordWrap/>
        <w:topLinePunct w:val="0"/>
        <w:bidi w:val="0"/>
        <w:spacing w:line="560" w:lineRule="exact"/>
        <w:ind w:firstLine="643"/>
      </w:pPr>
      <w:r>
        <w:rPr>
          <w:rFonts w:hint="eastAsia"/>
          <w:b/>
          <w:bCs/>
        </w:rPr>
        <w:t>坚决维护政治安全根本。</w:t>
      </w:r>
      <w:r>
        <w:rPr>
          <w:rFonts w:hint="eastAsia"/>
        </w:rPr>
        <w:t xml:space="preserve">确保政权安全、制度安全和意识形态安全，筑牢长清政治防线。严密防范和严厉打击敌对势力渗透、破坏、颠覆、分裂活动，加强反间谍斗争，强化反间防谍宣传教育，增强全民反间谍安全防范意识。维护意识形态安全，加强意识形态阵地建设和管理，健全重大舆情和突发事件舆论引导机制。严格落实网络意识形态工作责任制，巩固壮大主流思想舆论，防范化解意识形态领域风险。强化学校思想政治教育，防范境外势力利用宗教、非政府组织等进行意识形态渗透。加强国家安全宣传教育，创新宣传形式，提升宣传效果，推动政治安全意识全民化、常态化。加强国防动员和后备力量建设。 </w:t>
      </w:r>
    </w:p>
    <w:p w14:paraId="7A41DF4A">
      <w:pPr>
        <w:pStyle w:val="15"/>
        <w:keepNext w:val="0"/>
        <w:keepLines w:val="0"/>
        <w:pageBreakBefore w:val="0"/>
        <w:wordWrap/>
        <w:topLinePunct w:val="0"/>
        <w:bidi w:val="0"/>
        <w:spacing w:line="560" w:lineRule="exact"/>
        <w:ind w:firstLine="643"/>
        <w:rPr>
          <w:rFonts w:ascii="仿宋_GB2312"/>
        </w:rPr>
      </w:pPr>
      <w:r>
        <w:rPr>
          <w:rFonts w:hint="eastAsia"/>
          <w:b/>
          <w:bCs/>
        </w:rPr>
        <w:t>强化基础保障安全底线。</w:t>
      </w:r>
      <w:r>
        <w:rPr>
          <w:rFonts w:hint="eastAsia" w:ascii="仿宋_GB2312"/>
        </w:rPr>
        <w:t>落实粮食安全责任制，加强区级粮食储备管理，推进沿黄片区优质粮安全产业带建设，实施高标准农田建设与数字种植业创新项目，提升粮食安全保障能力。强化能源安全保障，推进城乡电网升级改造，提升电力设施抗风险能力和应急恢复能力。推动可再生能源开发利用，构建清洁低碳、安全高效的能源体系。推进交通、水利等关键基础设施智能化改造与韧性建设，加强水利基础设施管理与维护，保障城乡供水安全。推动基础设施全域感知体系建设，增强应对极端天气和突发事件的保障能力。围绕全区“3+2”产业体系布局，建立重点产业链供应链安全风险评估与预警机制，增强应对外部冲击的弹性。</w:t>
      </w:r>
    </w:p>
    <w:p w14:paraId="550F33FE">
      <w:pPr>
        <w:keepNext w:val="0"/>
        <w:keepLines w:val="0"/>
        <w:pageBreakBefore w:val="0"/>
        <w:wordWrap/>
        <w:topLinePunct w:val="0"/>
        <w:bidi w:val="0"/>
        <w:spacing w:line="560" w:lineRule="exact"/>
        <w:ind w:firstLine="643"/>
      </w:pPr>
      <w:r>
        <w:rPr>
          <w:rFonts w:hint="eastAsia"/>
          <w:b/>
          <w:bCs/>
        </w:rPr>
        <w:t>加强新兴领域安全管控。</w:t>
      </w:r>
      <w:r>
        <w:rPr>
          <w:rFonts w:hint="eastAsia"/>
        </w:rPr>
        <w:t>构建覆盖全区的网络安全防护体系，聚焦妇幼保健领域、高校师生群体等相关敏感数据保护，健全数据采集、存储、使用全流程监管机制，加强人工智能技术应用伦理规范与安全审查。健全生态环境风险防控体系，加强黄河流域长清段生态保护，加强污染源头治理和突发环境事件应急响应。强化生物安全监管，重点防范生物医药产业风险，规范实验室生物材料管理。完善野生动物疫源疫病监测网络，保障区域生态平衡与生物多样性安全。围绕全区低空经济产业发展，健全低空飞行突发情况属地应急处置联动响应机制，常态化开展低空飞行安全风险排查整治，强化源头管控和闭环管理，保障全区低空经济规范有序发展。</w:t>
      </w:r>
    </w:p>
    <w:p w14:paraId="62DB2240">
      <w:pPr>
        <w:pStyle w:val="15"/>
        <w:keepNext w:val="0"/>
        <w:keepLines w:val="0"/>
        <w:pageBreakBefore w:val="0"/>
        <w:wordWrap/>
        <w:topLinePunct w:val="0"/>
        <w:bidi w:val="0"/>
        <w:spacing w:line="560" w:lineRule="exact"/>
        <w:ind w:firstLine="643"/>
      </w:pPr>
      <w:r>
        <w:rPr>
          <w:rFonts w:hint="eastAsia"/>
          <w:b/>
          <w:bCs/>
        </w:rPr>
        <w:t>有效防范化解重大风险。</w:t>
      </w:r>
      <w:r>
        <w:rPr>
          <w:rFonts w:hint="eastAsia"/>
        </w:rPr>
        <w:t>加强对房地产开发项目投资、建设、销售、交付等全过程监管，建立系统预警机制，防范项目风险隐患，推进保障性住房建设，促进房地产市场平稳健康发展。强化政府债务风险监测预警，规范融资行为，遏制隐性债务增量，稳妥化解存量债务。健全金融风险防控机制，加强非法集资监测预警，定期排查投资、咨询、养老服务等行业及私募基金领域风险高发环节，加强对辖区中小金融机构的监管，持续开展不良贷款清收化解工作，落实应急转贷基金服务，优化</w:t>
      </w:r>
      <w:r>
        <w:rPr>
          <w:rFonts w:hint="eastAsia"/>
          <w:lang w:eastAsia="zh-CN"/>
        </w:rPr>
        <w:t>“</w:t>
      </w:r>
      <w:r>
        <w:rPr>
          <w:rFonts w:hint="eastAsia"/>
        </w:rPr>
        <w:t>政银担</w:t>
      </w:r>
      <w:r>
        <w:rPr>
          <w:rFonts w:hint="eastAsia"/>
          <w:lang w:eastAsia="zh-CN"/>
        </w:rPr>
        <w:t>”</w:t>
      </w:r>
      <w:r>
        <w:rPr>
          <w:rFonts w:hint="eastAsia"/>
        </w:rPr>
        <w:t>合作模式，严厉打击非法金融活动，维护区域金融秩序稳定。</w:t>
      </w:r>
    </w:p>
    <w:p w14:paraId="3AFA1979">
      <w:pPr>
        <w:pStyle w:val="4"/>
        <w:keepNext w:val="0"/>
        <w:keepLines w:val="0"/>
        <w:pageBreakBefore w:val="0"/>
        <w:wordWrap/>
        <w:topLinePunct w:val="0"/>
        <w:bidi w:val="0"/>
        <w:spacing w:line="560" w:lineRule="exact"/>
      </w:pPr>
      <w:bookmarkStart w:id="190" w:name="_Toc606967906"/>
      <w:bookmarkStart w:id="191" w:name="_Toc233272406"/>
      <w:bookmarkStart w:id="192" w:name="_Toc1288403730"/>
      <w:r>
        <w:rPr>
          <w:rFonts w:hint="eastAsia"/>
        </w:rPr>
        <w:t>第二节 完善公共安全治理体系，提高社会治理现代化水平</w:t>
      </w:r>
      <w:bookmarkEnd w:id="190"/>
      <w:bookmarkEnd w:id="191"/>
      <w:bookmarkEnd w:id="192"/>
    </w:p>
    <w:p w14:paraId="33E35BD7">
      <w:pPr>
        <w:keepNext w:val="0"/>
        <w:keepLines w:val="0"/>
        <w:pageBreakBefore w:val="0"/>
        <w:wordWrap/>
        <w:topLinePunct w:val="0"/>
        <w:bidi w:val="0"/>
        <w:spacing w:line="560" w:lineRule="exact"/>
        <w:ind w:firstLine="640"/>
      </w:pPr>
      <w:r>
        <w:rPr>
          <w:rFonts w:hint="eastAsia"/>
        </w:rPr>
        <w:t>坚持预防为主、综合施策，健全公共安全应急响应机制，夯实安全生产基础，提升社会治安整体效能，推进社会治理精细化、智能化。</w:t>
      </w:r>
    </w:p>
    <w:p w14:paraId="776F9B7F">
      <w:pPr>
        <w:keepNext w:val="0"/>
        <w:keepLines w:val="0"/>
        <w:pageBreakBefore w:val="0"/>
        <w:wordWrap/>
        <w:topLinePunct w:val="0"/>
        <w:bidi w:val="0"/>
        <w:spacing w:line="560" w:lineRule="exact"/>
        <w:ind w:firstLine="643"/>
      </w:pPr>
      <w:r>
        <w:rPr>
          <w:rFonts w:hint="eastAsia"/>
          <w:b/>
          <w:bCs/>
        </w:rPr>
        <w:t>提升应急管理能力。</w:t>
      </w:r>
      <w:r>
        <w:rPr>
          <w:rFonts w:hint="eastAsia"/>
        </w:rPr>
        <w:t>建立健全统一指挥、专常兼备、反应灵敏、上下联动的应急指挥体制。加强气象、水文、地质灾害监测预警，提升多灾种和灾害链的综合监测、风险早期识别与精准预警预报能力。完善应急物资储备体系，优化储备布局和品种，提高应急物资调配效率和资源统筹利用水平。建强综合性消防救援队伍，支持专业应急救援队伍和社会应急力量发展，形成以综合性消防救援队伍为主力、专业应急救援队伍为协同、社会应急力量为补充的应急救援力量体系。提升防灾减灾救灾能力，提高城市韧性水平，推动大数据、人工智能、无人机等先进技术在风险监测、预警发布、指挥调度和救援实战中的应用。深入开展应急知识普及和技能培训，提高全社会安全意识和公众自救互救能力，筑牢防灾减灾救灾的人民防线。</w:t>
      </w:r>
    </w:p>
    <w:p w14:paraId="175DE2A4">
      <w:pPr>
        <w:keepNext w:val="0"/>
        <w:keepLines w:val="0"/>
        <w:pageBreakBefore w:val="0"/>
        <w:wordWrap/>
        <w:topLinePunct w:val="0"/>
        <w:bidi w:val="0"/>
        <w:spacing w:line="560" w:lineRule="exact"/>
        <w:ind w:firstLine="643"/>
      </w:pPr>
      <w:r>
        <w:rPr>
          <w:b/>
          <w:bCs/>
        </w:rPr>
        <w:t>筑牢安全生产防线。</w:t>
      </w:r>
      <w:r>
        <w:t>以全面压实安全生产责任制为核心，建立分类分级、精准高效的风险管控机制，构建现代化安全生产治理体系。实施风险分级，强化差异化管控。重点监管危险化学品、建筑施工、基础设施等重点行业领域中的高风险单元和企业，实现对重点企业、重大危险源、重要基础设施的实时监控和智能预警，确保重大风险可控在控；对一般及较低风险单元和企业实施标准化建设与常态监管，强化企业主体责任落实。深化分类治理，依据行业特点和风险属性，定期更新风险分级分类信息，分行业、分领域制定精细化安全管理指南与检查清单。强化安全生产科技引领，引导企业围绕安全生产加大新技术、新装备、新工艺、新材料的投入使用，提升安全生产科学化水平。构建全民参与安全防控体系，畅通群众举报等信息渠道，开展安全培训，切实提升一线员工的安全意识和实操能力</w:t>
      </w:r>
      <w:r>
        <w:rPr>
          <w:rFonts w:hint="eastAsia"/>
        </w:rPr>
        <w:t>。</w:t>
      </w:r>
    </w:p>
    <w:p w14:paraId="7656F28C">
      <w:pPr>
        <w:keepNext w:val="0"/>
        <w:keepLines w:val="0"/>
        <w:pageBreakBefore w:val="0"/>
        <w:wordWrap/>
        <w:topLinePunct w:val="0"/>
        <w:bidi w:val="0"/>
        <w:spacing w:line="560" w:lineRule="exact"/>
        <w:ind w:firstLine="643"/>
      </w:pPr>
      <w:r>
        <w:rPr>
          <w:b/>
          <w:bCs/>
        </w:rPr>
        <w:t>保障食品药品安全</w:t>
      </w:r>
      <w:r>
        <w:rPr>
          <w:rFonts w:hint="eastAsia"/>
          <w:b/>
          <w:bCs/>
        </w:rPr>
        <w:t>。</w:t>
      </w:r>
      <w:r>
        <w:rPr>
          <w:rFonts w:hint="eastAsia"/>
        </w:rPr>
        <w:t>确保食品药品来源可溯、风险可控、责任可追，保障群众“舌尖上的安全”。完善食品药品安全监管体系。建立健全“从农田到餐桌”全链条的食品安全监管机制，实施食品安全风险分级管理，加大食品抽检力度和频次。推行农产品合格证制度，建立农产品质量安全追溯平台；加强药品医疗器械经营使用管理，严厉打击销售假劣药品违法行为，保障群众用药安全有效。深化食品药品安全专项整治，针对食品药品安全重点领域和薄弱环节，重点整治校园及周边、农村地区、网络餐饮等领域食品安全问题。加强药品不良反应和医疗器械不良事件监测，推进食品药品安全信用体系建设，建立生产经营者信用档案。</w:t>
      </w:r>
    </w:p>
    <w:p w14:paraId="04833755">
      <w:pPr>
        <w:pStyle w:val="15"/>
        <w:keepNext w:val="0"/>
        <w:keepLines w:val="0"/>
        <w:pageBreakBefore w:val="0"/>
        <w:wordWrap/>
        <w:topLinePunct w:val="0"/>
        <w:bidi w:val="0"/>
        <w:spacing w:line="560" w:lineRule="exact"/>
        <w:ind w:firstLine="643"/>
      </w:pPr>
      <w:r>
        <w:rPr>
          <w:rFonts w:hint="eastAsia"/>
          <w:b/>
          <w:bCs/>
        </w:rPr>
        <w:t>完善社会治安防控。</w:t>
      </w:r>
      <w:r>
        <w:rPr>
          <w:rFonts w:hint="eastAsia"/>
        </w:rPr>
        <w:t>构建城乡统筹、网上网下融合、人防物防技防结合、打防管控一体的社会治安防控新格局。完善街面巡逻防控网、社区防控网、单位内部防控网、视频监控网、网络社会防控网“五张网”建设，提高社会治安防控整体效能。严厉打击突出违法犯罪，持续开展“盗抢骗”、涉黑涉恶、电信网络诈骗等多发性侵财犯罪专项打击行动，切实保障人民群众财产安全。构建“科技</w:t>
      </w:r>
      <w:r>
        <w:rPr>
          <w:rFonts w:hint="eastAsia" w:ascii="仿宋_GB2312"/>
        </w:rPr>
        <w:t>+</w:t>
      </w:r>
      <w:r>
        <w:rPr>
          <w:rFonts w:hint="eastAsia"/>
        </w:rPr>
        <w:t>警务”防控体系，强化公共场所和重点区域视频监控覆盖，持续开展反诈专项行动，深化高校“反诈第一课”等宣传活动，健全预警劝阻机制，力争电诈发案率持续下降。</w:t>
      </w:r>
    </w:p>
    <w:p w14:paraId="5C15C796">
      <w:pPr>
        <w:keepNext w:val="0"/>
        <w:keepLines w:val="0"/>
        <w:pageBreakBefore w:val="0"/>
        <w:wordWrap/>
        <w:topLinePunct w:val="0"/>
        <w:bidi w:val="0"/>
        <w:spacing w:line="560" w:lineRule="exact"/>
        <w:ind w:firstLine="643"/>
      </w:pPr>
      <w:r>
        <w:rPr>
          <w:rFonts w:hint="eastAsia"/>
          <w:b/>
          <w:bCs/>
        </w:rPr>
        <w:t>提升社会治理效能。</w:t>
      </w:r>
      <w:r>
        <w:rPr>
          <w:rFonts w:hint="eastAsia"/>
        </w:rPr>
        <w:t>加强乡村治理，完善社区治理。农村实施“雁归兴乡”工程，完善乡村人才“引育用留”全链条，夯实基层治理基础，提升乡村发展活力。城区加强小区党组织和业主委员会建设，用好楼长、单元长等居民自治力量，深化“157工作模式”，建立“四方协商”格局破解治理难题。坚持和发展新时代“枫桥经验”，完善矛盾纠纷多元化解机制，深化“党建+网格”治理模式，实现“小事不出网格”，将矛盾化解在基层、化解在萌芽状态。持续整治群众身边不正之风和腐败问题，加强基层小微权力监督，畅通群众监督举报渠道，严惩“微腐败”，切实维护群众利益。深入推进移风易俗，加强法治宣传，推动文明家庭评选，促进民风转化，营造崇尚科学、勤俭节约、向善向上的社会新风尚。推进信访工作法治化，畅通和规范群众诉求表达、利益协调、权益保障通道。</w:t>
      </w:r>
    </w:p>
    <w:p w14:paraId="7E8413F4">
      <w:pPr>
        <w:pStyle w:val="2"/>
        <w:keepNext w:val="0"/>
        <w:keepLines w:val="0"/>
        <w:pageBreakBefore w:val="0"/>
        <w:wordWrap/>
        <w:topLinePunct w:val="0"/>
        <w:bidi w:val="0"/>
        <w:spacing w:line="560" w:lineRule="exact"/>
        <w:rPr>
          <w:rFonts w:hint="eastAsia"/>
        </w:rPr>
      </w:pPr>
      <w:bookmarkStart w:id="193" w:name="_Toc2021256392"/>
      <w:bookmarkStart w:id="194" w:name="_Toc828373881"/>
      <w:bookmarkStart w:id="195" w:name="_Toc940209707"/>
    </w:p>
    <w:p w14:paraId="281B857A">
      <w:pPr>
        <w:pStyle w:val="2"/>
        <w:keepNext w:val="0"/>
        <w:keepLines w:val="0"/>
        <w:pageBreakBefore w:val="0"/>
        <w:wordWrap/>
        <w:topLinePunct w:val="0"/>
        <w:bidi w:val="0"/>
        <w:spacing w:line="560" w:lineRule="exact"/>
      </w:pPr>
      <w:bookmarkStart w:id="196" w:name="_Toc233272407"/>
      <w:r>
        <w:rPr>
          <w:rFonts w:hint="eastAsia"/>
        </w:rPr>
        <w:t>效能篇</w:t>
      </w:r>
      <w:bookmarkEnd w:id="193"/>
      <w:bookmarkEnd w:id="194"/>
      <w:bookmarkEnd w:id="195"/>
      <w:bookmarkEnd w:id="196"/>
    </w:p>
    <w:p w14:paraId="37D5DE7D">
      <w:pPr>
        <w:pStyle w:val="3"/>
        <w:keepNext w:val="0"/>
        <w:keepLines w:val="0"/>
        <w:pageBreakBefore w:val="0"/>
        <w:wordWrap/>
        <w:topLinePunct w:val="0"/>
        <w:bidi w:val="0"/>
        <w:spacing w:line="560" w:lineRule="exact"/>
      </w:pPr>
      <w:bookmarkStart w:id="197" w:name="_Toc2078006449"/>
      <w:bookmarkStart w:id="198" w:name="_Toc233272408"/>
      <w:bookmarkStart w:id="199" w:name="_Toc1609527732"/>
      <w:bookmarkStart w:id="200" w:name="_Toc771547767"/>
      <w:r>
        <w:rPr>
          <w:rFonts w:hint="eastAsia"/>
        </w:rPr>
        <w:t>第十三章  持续推进改革开放，不断激发市场活力</w:t>
      </w:r>
      <w:bookmarkEnd w:id="197"/>
      <w:bookmarkEnd w:id="198"/>
      <w:bookmarkEnd w:id="199"/>
      <w:bookmarkEnd w:id="200"/>
    </w:p>
    <w:p w14:paraId="563C0EAF">
      <w:pPr>
        <w:keepNext w:val="0"/>
        <w:keepLines w:val="0"/>
        <w:pageBreakBefore w:val="0"/>
        <w:wordWrap/>
        <w:overflowPunct w:val="0"/>
        <w:topLinePunct w:val="0"/>
        <w:bidi w:val="0"/>
        <w:spacing w:line="560" w:lineRule="exact"/>
        <w:ind w:firstLine="640"/>
        <w:rPr>
          <w:rFonts w:hAnsi="Times New Roman" w:cs="Times New Roman"/>
        </w:rPr>
      </w:pPr>
    </w:p>
    <w:p w14:paraId="067943D8">
      <w:pPr>
        <w:keepNext w:val="0"/>
        <w:keepLines w:val="0"/>
        <w:pageBreakBefore w:val="0"/>
        <w:wordWrap/>
        <w:overflowPunct w:val="0"/>
        <w:topLinePunct w:val="0"/>
        <w:bidi w:val="0"/>
        <w:spacing w:line="560" w:lineRule="exact"/>
        <w:ind w:firstLine="640"/>
      </w:pPr>
      <w:r>
        <w:rPr>
          <w:rFonts w:hint="eastAsia"/>
        </w:rPr>
        <w:t>促进有效市场和有为政府更好结合，主动融入和服务国家改革开放大局，持续打造一流营商环境，加快融入和服务全国统一大市场建设，培育更有活力、创造力和竞争力的各类市场经营主体，构建开放发展新优势，建设更高水平开放型经济。</w:t>
      </w:r>
    </w:p>
    <w:p w14:paraId="38731B54">
      <w:pPr>
        <w:pStyle w:val="4"/>
        <w:keepNext w:val="0"/>
        <w:keepLines w:val="0"/>
        <w:pageBreakBefore w:val="0"/>
        <w:wordWrap/>
        <w:topLinePunct w:val="0"/>
        <w:bidi w:val="0"/>
        <w:spacing w:line="560" w:lineRule="exact"/>
      </w:pPr>
      <w:bookmarkStart w:id="201" w:name="_Toc654738153"/>
      <w:bookmarkStart w:id="202" w:name="_Toc304779625"/>
      <w:bookmarkStart w:id="203" w:name="_Toc233272409"/>
      <w:r>
        <w:t>第一节</w:t>
      </w:r>
      <w:r>
        <w:rPr>
          <w:rFonts w:hint="eastAsia"/>
        </w:rPr>
        <w:t xml:space="preserve">  </w:t>
      </w:r>
      <w:r>
        <w:t>优化政务服务体系，筑牢市场发展保障</w:t>
      </w:r>
      <w:bookmarkEnd w:id="201"/>
      <w:bookmarkEnd w:id="202"/>
      <w:bookmarkEnd w:id="203"/>
    </w:p>
    <w:p w14:paraId="00AEB112">
      <w:pPr>
        <w:keepNext w:val="0"/>
        <w:keepLines w:val="0"/>
        <w:pageBreakBefore w:val="0"/>
        <w:wordWrap/>
        <w:topLinePunct w:val="0"/>
        <w:bidi w:val="0"/>
        <w:spacing w:line="560" w:lineRule="exact"/>
        <w:ind w:firstLine="643"/>
      </w:pPr>
      <w:r>
        <w:rPr>
          <w:rFonts w:hint="eastAsia"/>
          <w:b/>
          <w:bCs/>
        </w:rPr>
        <w:t>推进集成改革服务</w:t>
      </w:r>
      <w:r>
        <w:rPr>
          <w:rFonts w:hint="eastAsia"/>
        </w:rPr>
        <w:t>。构建“标准化+智能化”基层政务服务体系，统一基层便民服务中心标识、布局，规范服务标准和流程，加大数字化改造投入，提高群众辨识度和便利度。以“高效办成一件事”为目标，加强跨部门协作，不断拓展全域通办服务事项范围，深化审批服务流程再造，强化政务服务事项线上线下集中办理。</w:t>
      </w:r>
    </w:p>
    <w:p w14:paraId="38F3F69E">
      <w:pPr>
        <w:keepNext w:val="0"/>
        <w:keepLines w:val="0"/>
        <w:pageBreakBefore w:val="0"/>
        <w:wordWrap/>
        <w:topLinePunct w:val="0"/>
        <w:bidi w:val="0"/>
        <w:spacing w:line="560" w:lineRule="exact"/>
        <w:ind w:firstLine="643"/>
        <w:rPr>
          <w:b/>
          <w:bCs/>
        </w:rPr>
      </w:pPr>
      <w:r>
        <w:rPr>
          <w:rFonts w:hint="eastAsia"/>
          <w:b/>
          <w:bCs/>
        </w:rPr>
        <w:t>做好惠企政策落实</w:t>
      </w:r>
      <w:r>
        <w:rPr>
          <w:rFonts w:hint="eastAsia"/>
        </w:rPr>
        <w:t>。推动“惠企政策”直达快享改革，持续强化“泉惠企”平台作用，聚焦快速兑现政策，优化营商环境，紧盯企业关注的重点领域，进一步提升政府服务效率水平，推动解决政策落地“最后一公里”问题。发挥“泉惠企”平台作用，完善企业库和政策库，推进供需对接平台建设，推进工业、农业、服务业产品供需资源全量展示、有效对接。推进政务服务转型升级，推出“一企一策”服务方案，创新提供精准化、个性化的服务。</w:t>
      </w:r>
    </w:p>
    <w:p w14:paraId="76E78119">
      <w:pPr>
        <w:keepNext w:val="0"/>
        <w:keepLines w:val="0"/>
        <w:pageBreakBefore w:val="0"/>
        <w:wordWrap/>
        <w:topLinePunct w:val="0"/>
        <w:bidi w:val="0"/>
        <w:spacing w:line="560" w:lineRule="exact"/>
        <w:ind w:firstLine="643"/>
      </w:pPr>
      <w:r>
        <w:rPr>
          <w:rFonts w:hint="eastAsia"/>
          <w:b/>
          <w:bCs/>
        </w:rPr>
        <w:t>深化数字服务创新</w:t>
      </w:r>
      <w:r>
        <w:rPr>
          <w:rFonts w:hint="eastAsia"/>
        </w:rPr>
        <w:t>。完善“15分钟公共服务圈”建设，强化自助终端应用，构建集线上展示、预约、评价等功能于一体的“一站式”运营场景，提升公共服务效率与质量。构建项目管家制度，通过线上平台实现“项目管家”全覆盖，提升重点项目推进效率，提供全流程精准服务，解决企业在项目实施过程中遇到的各种问题，加速项目落地，为企业提供便捷、高效的服务体验。发挥“智惠导服”平台作用，持续更新知识库，扎实推进市级“泉心泉意”政务服务大模型，突出咨询引导、辅助申报审批等关键环节，强化全流程数据分析和精准化政策服务。积极参与济南市“国家中小企业数字化转型试点城市”建设，建立数字化转型服务支撑体系。</w:t>
      </w:r>
    </w:p>
    <w:p w14:paraId="179D5AB2">
      <w:pPr>
        <w:pStyle w:val="4"/>
        <w:keepNext w:val="0"/>
        <w:keepLines w:val="0"/>
        <w:pageBreakBefore w:val="0"/>
        <w:wordWrap/>
        <w:topLinePunct w:val="0"/>
        <w:bidi w:val="0"/>
        <w:spacing w:line="560" w:lineRule="exact"/>
      </w:pPr>
      <w:bookmarkStart w:id="204" w:name="_Toc233272410"/>
      <w:bookmarkStart w:id="205" w:name="_Toc40665917"/>
      <w:bookmarkStart w:id="206" w:name="_Toc695514973"/>
      <w:r>
        <w:rPr>
          <w:rFonts w:hint="eastAsia"/>
        </w:rPr>
        <w:t xml:space="preserve">第二节  </w:t>
      </w:r>
      <w:r>
        <w:t>深化市场化改革，破除体制机制障碍</w:t>
      </w:r>
      <w:bookmarkEnd w:id="204"/>
      <w:bookmarkEnd w:id="205"/>
      <w:bookmarkEnd w:id="206"/>
    </w:p>
    <w:p w14:paraId="00D5B610">
      <w:pPr>
        <w:keepNext w:val="0"/>
        <w:keepLines w:val="0"/>
        <w:pageBreakBefore w:val="0"/>
        <w:wordWrap/>
        <w:topLinePunct w:val="0"/>
        <w:bidi w:val="0"/>
        <w:spacing w:line="560" w:lineRule="exact"/>
        <w:ind w:firstLine="643"/>
      </w:pPr>
      <w:r>
        <w:rPr>
          <w:rFonts w:hint="eastAsia"/>
          <w:b/>
        </w:rPr>
        <w:t>加速融入全国统一大市场。</w:t>
      </w:r>
      <w:r>
        <w:rPr>
          <w:rFonts w:hint="eastAsia"/>
        </w:rPr>
        <w:t>全面实施公平竞争审查制度，清理废除涉及地方保护、指定交易的政策措施。加强反不正当竞争执法司法协同，维护市场竞争秩序。完善公平竞争制度，严格政府采购招标管理，规范招投标主体行为，推进公共资源交易项目全流程公开管理。严格落实市场准入负面清单制度，推动“非进即入”全面落实。进一步规范招商引资法规制度，严禁违法违规给予政策优惠，</w:t>
      </w:r>
      <w:r>
        <w:t>以稳定公平的市场环境让企业</w:t>
      </w:r>
      <w:r>
        <w:rPr>
          <w:rFonts w:hint="eastAsia"/>
        </w:rPr>
        <w:t>愿意</w:t>
      </w:r>
      <w:r>
        <w:t>扎根、安心经营</w:t>
      </w:r>
      <w:r>
        <w:rPr>
          <w:rFonts w:hint="eastAsia"/>
        </w:rPr>
        <w:t>。规范涉企行政执法，推动检查事项清单动态管理，推行联合检查，积极探索“无感监管”模式，深化多元监督体系建设，构建共建共治监督格局。切实加强产权保护，依法平等长久保护各种所有制经济产权，完善惩罚性赔偿制度，加强产权执行司法保护。</w:t>
      </w:r>
    </w:p>
    <w:p w14:paraId="678163E7">
      <w:pPr>
        <w:pStyle w:val="22"/>
        <w:keepNext w:val="0"/>
        <w:keepLines w:val="0"/>
        <w:pageBreakBefore w:val="0"/>
        <w:wordWrap/>
        <w:topLinePunct w:val="0"/>
        <w:bidi w:val="0"/>
        <w:spacing w:line="560" w:lineRule="exact"/>
        <w:ind w:firstLine="643"/>
        <w:rPr>
          <w:rFonts w:ascii="仿宋_GB2312" w:hAnsi="仿宋_GB2312" w:eastAsia="仿宋_GB2312" w:cs="仿宋_GB2312"/>
        </w:rPr>
      </w:pPr>
      <w:r>
        <w:rPr>
          <w:rFonts w:hint="eastAsia" w:ascii="仿宋_GB2312" w:hAnsi="仿宋_GB2312" w:eastAsia="仿宋_GB2312" w:cs="仿宋_GB2312"/>
          <w:b/>
          <w:bCs/>
        </w:rPr>
        <w:t>激发各类企业发展活力。</w:t>
      </w:r>
      <w:r>
        <w:rPr>
          <w:rFonts w:hint="eastAsia" w:ascii="仿宋_GB2312" w:hAnsi="仿宋_GB2312" w:eastAsia="仿宋_GB2312" w:cs="仿宋_GB2312"/>
        </w:rPr>
        <w:t>构建稳定公平、透明可预期的法治环境，全面落实支持民营企业改革发展的政策，让民营企业安心经营、放心发展。尊重、保护民营企业家权益，构建亲清政商关系，营造激励企业家干事创业的浓厚氛围。加快培育龙头企业，壮大优质民营经济主体数量和规模。鼓励发展新个体经济，完善新个体权益保障制度，推动大中小企业协同融通发展。</w:t>
      </w:r>
    </w:p>
    <w:p w14:paraId="7267CD09">
      <w:pPr>
        <w:pStyle w:val="22"/>
        <w:keepNext w:val="0"/>
        <w:keepLines w:val="0"/>
        <w:pageBreakBefore w:val="0"/>
        <w:wordWrap/>
        <w:topLinePunct w:val="0"/>
        <w:bidi w:val="0"/>
        <w:spacing w:line="560" w:lineRule="exact"/>
        <w:ind w:firstLine="643"/>
        <w:rPr>
          <w:rFonts w:ascii="仿宋_GB2312" w:hAnsi="仿宋_GB2312" w:eastAsia="仿宋_GB2312" w:cs="仿宋_GB2312"/>
        </w:rPr>
      </w:pPr>
      <w:r>
        <w:rPr>
          <w:rFonts w:hint="eastAsia" w:ascii="仿宋_GB2312" w:hAnsi="仿宋_GB2312" w:eastAsia="仿宋_GB2312" w:cs="仿宋_GB2312"/>
          <w:b/>
          <w:bCs/>
        </w:rPr>
        <w:t>构建全方位社会监督格局</w:t>
      </w:r>
      <w:r>
        <w:rPr>
          <w:rFonts w:ascii="仿宋_GB2312" w:hAnsi="仿宋_GB2312" w:eastAsia="仿宋_GB2312" w:cs="仿宋_GB2312"/>
        </w:rPr>
        <w:t>。建立跨区域、跨部门“监督联合体”，对规划重点领域开展</w:t>
      </w:r>
      <w:r>
        <w:rPr>
          <w:rFonts w:hint="eastAsia" w:ascii="仿宋_GB2312" w:hAnsi="仿宋_GB2312" w:eastAsia="仿宋_GB2312" w:cs="仿宋_GB2312"/>
        </w:rPr>
        <w:t>进行充分论证，开展风险预警监测</w:t>
      </w:r>
      <w:r>
        <w:rPr>
          <w:rFonts w:ascii="仿宋_GB2312" w:hAnsi="仿宋_GB2312" w:eastAsia="仿宋_GB2312" w:cs="仿宋_GB2312"/>
        </w:rPr>
        <w:t>，对重大工程项目开展廉洁性、合规性评估</w:t>
      </w:r>
      <w:r>
        <w:rPr>
          <w:rFonts w:hint="eastAsia" w:ascii="仿宋_GB2312" w:hAnsi="仿宋_GB2312" w:eastAsia="仿宋_GB2312" w:cs="仿宋_GB2312"/>
        </w:rPr>
        <w:t>。</w:t>
      </w:r>
      <w:r>
        <w:rPr>
          <w:rFonts w:ascii="仿宋_GB2312" w:hAnsi="仿宋_GB2312" w:eastAsia="仿宋_GB2312" w:cs="仿宋_GB2312"/>
        </w:rPr>
        <w:t>推动纪律监督、监察监督、派驻监督、巡视巡察“四项监督”统筹衔接，创新监督方式，构建全覆盖监督网络。激发群众参与积极性，通过专题座谈、网络征集等形式</w:t>
      </w:r>
      <w:r>
        <w:rPr>
          <w:rFonts w:hint="eastAsia" w:ascii="仿宋_GB2312" w:hAnsi="仿宋_GB2312" w:eastAsia="仿宋_GB2312" w:cs="仿宋_GB2312"/>
        </w:rPr>
        <w:t>倾听民意、汇聚民智</w:t>
      </w:r>
      <w:r>
        <w:rPr>
          <w:rFonts w:ascii="仿宋_GB2312" w:hAnsi="仿宋_GB2312" w:eastAsia="仿宋_GB2312" w:cs="仿宋_GB2312"/>
        </w:rPr>
        <w:t>，深化群众监督</w:t>
      </w:r>
      <w:r>
        <w:rPr>
          <w:rFonts w:hint="eastAsia" w:ascii="仿宋_GB2312" w:hAnsi="仿宋_GB2312" w:eastAsia="仿宋_GB2312" w:cs="仿宋_GB2312"/>
        </w:rPr>
        <w:t>。</w:t>
      </w:r>
      <w:r>
        <w:rPr>
          <w:rFonts w:ascii="仿宋_GB2312" w:hAnsi="仿宋_GB2312" w:eastAsia="仿宋_GB2312" w:cs="仿宋_GB2312"/>
        </w:rPr>
        <w:t>推行村级“小微权力清单”制度，实施村务公开“阳光工程”，设立基层“廉情观察员”制度，用好“码上监督”平台，畅通监督渠道。</w:t>
      </w:r>
    </w:p>
    <w:p w14:paraId="3DB04BCA">
      <w:pPr>
        <w:keepNext w:val="0"/>
        <w:keepLines w:val="0"/>
        <w:pageBreakBefore w:val="0"/>
        <w:wordWrap/>
        <w:topLinePunct w:val="0"/>
        <w:bidi w:val="0"/>
        <w:spacing w:line="560" w:lineRule="exact"/>
        <w:ind w:firstLine="643"/>
      </w:pPr>
      <w:r>
        <w:rPr>
          <w:rFonts w:hint="eastAsia"/>
          <w:b/>
        </w:rPr>
        <w:t>深化社会信用体系建设。</w:t>
      </w:r>
      <w:r>
        <w:rPr>
          <w:rFonts w:hint="eastAsia"/>
        </w:rPr>
        <w:t>建立健全信用制度与标准体系，持续推进政务诚信、商务诚信、社会诚信、司法公信建设，完善园区、乡村信用建设。深入推进信用信息共享、公示和应用，提升平台自动化对接能力，强化公共信用信息系统支撑功能。开展多层次信用惠民便企服务，增强信用服务实体经济能力。发展信用服务产业，培育和规范信用服务市场。探索建立满足社会信用体系建设需要的机构体系。</w:t>
      </w:r>
    </w:p>
    <w:p w14:paraId="78A30202">
      <w:pPr>
        <w:pStyle w:val="4"/>
        <w:keepNext w:val="0"/>
        <w:keepLines w:val="0"/>
        <w:pageBreakBefore w:val="0"/>
        <w:wordWrap/>
        <w:topLinePunct w:val="0"/>
        <w:bidi w:val="0"/>
        <w:spacing w:line="560" w:lineRule="exact"/>
      </w:pPr>
      <w:bookmarkStart w:id="207" w:name="_Toc194560807"/>
      <w:bookmarkStart w:id="208" w:name="_Toc233272411"/>
      <w:bookmarkStart w:id="209" w:name="_Toc569146424"/>
      <w:bookmarkStart w:id="210" w:name="_Hlk216875952"/>
      <w:r>
        <w:t>第三节</w:t>
      </w:r>
      <w:r>
        <w:rPr>
          <w:rFonts w:hint="eastAsia"/>
        </w:rPr>
        <w:t xml:space="preserve">  </w:t>
      </w:r>
      <w:r>
        <w:t>扩大对外开放合作，拓展市场发展空间</w:t>
      </w:r>
      <w:bookmarkEnd w:id="207"/>
      <w:bookmarkEnd w:id="208"/>
      <w:bookmarkEnd w:id="209"/>
    </w:p>
    <w:p w14:paraId="0B0A4052">
      <w:pPr>
        <w:pStyle w:val="22"/>
        <w:keepNext w:val="0"/>
        <w:keepLines w:val="0"/>
        <w:pageBreakBefore w:val="0"/>
        <w:wordWrap/>
        <w:topLinePunct w:val="0"/>
        <w:bidi w:val="0"/>
        <w:spacing w:line="560" w:lineRule="exact"/>
        <w:ind w:firstLine="643"/>
        <w:rPr>
          <w:rFonts w:ascii="仿宋_GB2312" w:hAnsi="仿宋_GB2312" w:eastAsia="仿宋_GB2312" w:cs="仿宋_GB2312"/>
        </w:rPr>
      </w:pPr>
      <w:r>
        <w:rPr>
          <w:rFonts w:hint="eastAsia" w:ascii="仿宋_GB2312" w:hAnsi="仿宋_GB2312" w:eastAsia="仿宋_GB2312" w:cs="仿宋_GB2312"/>
          <w:b/>
          <w:bCs/>
        </w:rPr>
        <w:t>培育自主外贸企业。</w:t>
      </w:r>
      <w:r>
        <w:rPr>
          <w:rFonts w:hint="eastAsia" w:ascii="仿宋_GB2312" w:hAnsi="仿宋_GB2312" w:eastAsia="仿宋_GB2312" w:cs="仿宋_GB2312"/>
        </w:rPr>
        <w:t>加大外贸龙头企业培育力度，带动高端装备、汽车零部件等产业“走出去”。推动布局海外仓，助力中小微企业出海与品牌国际化。依托农批市场建设，引进培育农产品、水产品进出口企业，拓展自主进出口规模。探索建立跨境电商企业梯度培育库，构建“重点扶持龙头+孵化成长型企业”的分层机制。</w:t>
      </w:r>
    </w:p>
    <w:p w14:paraId="3A7344EA">
      <w:pPr>
        <w:pStyle w:val="22"/>
        <w:keepNext w:val="0"/>
        <w:keepLines w:val="0"/>
        <w:pageBreakBefore w:val="0"/>
        <w:wordWrap/>
        <w:topLinePunct w:val="0"/>
        <w:bidi w:val="0"/>
        <w:spacing w:line="560" w:lineRule="exact"/>
        <w:ind w:firstLine="643"/>
        <w:rPr>
          <w:rFonts w:ascii="仿宋_GB2312" w:hAnsi="仿宋_GB2312" w:eastAsia="仿宋_GB2312" w:cs="仿宋_GB2312"/>
        </w:rPr>
      </w:pPr>
      <w:r>
        <w:rPr>
          <w:rFonts w:hint="eastAsia" w:ascii="仿宋_GB2312" w:hAnsi="仿宋_GB2312" w:eastAsia="仿宋_GB2312" w:cs="仿宋_GB2312"/>
          <w:b/>
          <w:bCs/>
        </w:rPr>
        <w:t>不断优化外商投资环境。</w:t>
      </w:r>
      <w:r>
        <w:rPr>
          <w:rFonts w:hint="eastAsia" w:ascii="仿宋_GB2312" w:hAnsi="仿宋_GB2312" w:eastAsia="仿宋_GB2312" w:cs="仿宋_GB2312"/>
        </w:rPr>
        <w:t>落实外商投资法及实施条例，保护外商投资合法权益，健全外商投资服务体系。加大服务保障力度，持续开展重点外资企业常态化走访与座谈交流，为企业提供精准指导与全方位支持。积极推动外汇结算政策落地，提升跨境资金结算效率，推动存量外资企业增资扩产。落实国家战略，引导更多企业使用跨境人民币结算。</w:t>
      </w:r>
    </w:p>
    <w:p w14:paraId="0CB45364">
      <w:pPr>
        <w:pStyle w:val="22"/>
        <w:keepNext w:val="0"/>
        <w:keepLines w:val="0"/>
        <w:pageBreakBefore w:val="0"/>
        <w:wordWrap/>
        <w:topLinePunct w:val="0"/>
        <w:bidi w:val="0"/>
        <w:spacing w:line="560" w:lineRule="exact"/>
        <w:ind w:firstLine="643"/>
        <w:rPr>
          <w:rFonts w:ascii="仿宋_GB2312" w:hAnsi="仿宋_GB2312" w:eastAsia="仿宋_GB2312" w:cs="仿宋_GB2312"/>
        </w:rPr>
      </w:pPr>
      <w:r>
        <w:rPr>
          <w:rFonts w:hint="eastAsia" w:ascii="仿宋_GB2312" w:hAnsi="仿宋_GB2312" w:eastAsia="仿宋_GB2312" w:cs="仿宋_GB2312"/>
          <w:b/>
          <w:bCs/>
        </w:rPr>
        <w:t>提升吸引利用外资质量水平。</w:t>
      </w:r>
      <w:r>
        <w:rPr>
          <w:rFonts w:hint="eastAsia" w:ascii="仿宋_GB2312" w:hAnsi="仿宋_GB2312" w:eastAsia="仿宋_GB2312" w:cs="仿宋_GB2312"/>
        </w:rPr>
        <w:t>落实中央规范招商引资促进高质量发展的实施意见，用好跨国公司领导人青岛峰会、“对话山东”等品牌活动，提高信息获取质效与项目转化成功率，提升利用外资规模和质量。“十五五”期间力争落地优质产业项目50个，其中10亿元以上项目不低于10个，实际使用外资稳步增长。</w:t>
      </w:r>
    </w:p>
    <w:p w14:paraId="42432B44">
      <w:pPr>
        <w:keepNext w:val="0"/>
        <w:keepLines w:val="0"/>
        <w:pageBreakBefore w:val="0"/>
        <w:wordWrap/>
        <w:topLinePunct w:val="0"/>
        <w:bidi w:val="0"/>
        <w:spacing w:line="560" w:lineRule="exact"/>
        <w:ind w:firstLine="643"/>
      </w:pPr>
      <w:r>
        <w:rPr>
          <w:rFonts w:hint="eastAsia"/>
          <w:b/>
          <w:bCs/>
        </w:rPr>
        <w:t>建设高能级对外开放平台。</w:t>
      </w:r>
      <w:r>
        <w:rPr>
          <w:rFonts w:hint="eastAsia"/>
        </w:rPr>
        <w:t>积极推动与济南市自贸试验区、综合保税区的联动发展、共建共享。依托“三协会一基地”（长清区海外联谊会、长清区台属联谊会、香港济南同乡会长清分会以及港澳台青年交流基地）等平台载体，深化内外交流广度与深度。依托济南市“激光产业大会”等品牌活动，积极搭建绿色低碳领域国际交流合作平台，聚焦产业链供应链稳定，打造“会展赋能+外联支撑+特色服务+多元宣传”四位一体的国际交流合作服务矩阵。</w:t>
      </w:r>
      <w:bookmarkEnd w:id="210"/>
      <w:r>
        <w:rPr>
          <w:rFonts w:hint="eastAsia"/>
        </w:rPr>
        <w:t>推广“线上平台+境外展会+境内对接”模式，支持企业参加境外专业展会、境内精准对接活动，引导更多本土企业开展外贸业务，提升长清产品国际知名度。</w:t>
      </w:r>
    </w:p>
    <w:p w14:paraId="1F3AEBA6">
      <w:pPr>
        <w:pStyle w:val="22"/>
        <w:keepNext w:val="0"/>
        <w:keepLines w:val="0"/>
        <w:pageBreakBefore w:val="0"/>
        <w:wordWrap/>
        <w:topLinePunct w:val="0"/>
        <w:bidi w:val="0"/>
        <w:spacing w:line="560" w:lineRule="exact"/>
        <w:ind w:firstLine="643"/>
        <w:rPr>
          <w:rFonts w:ascii="仿宋_GB2312" w:hAnsi="仿宋_GB2312" w:eastAsia="仿宋_GB2312" w:cs="仿宋_GB2312"/>
        </w:rPr>
      </w:pPr>
      <w:r>
        <w:rPr>
          <w:rFonts w:hint="eastAsia" w:ascii="仿宋_GB2312" w:hAnsi="仿宋_GB2312" w:eastAsia="仿宋_GB2312" w:cs="仿宋_GB2312"/>
          <w:b/>
          <w:bCs/>
        </w:rPr>
        <w:t>深化对外人才技术交流合作。</w:t>
      </w:r>
      <w:r>
        <w:rPr>
          <w:rFonts w:hint="eastAsia" w:ascii="仿宋_GB2312" w:hAnsi="仿宋_GB2312" w:eastAsia="仿宋_GB2312" w:cs="仿宋_GB2312"/>
        </w:rPr>
        <w:t>将长清大学城各高校国际化资源进行“系统化整合、平台化提升、区域化赋能”，推动从“高校国际化”向“区域国际化”的转变，构建“高校-平台-区域”三位一体的对外开放新格局。推动与国外高校、科研机构的合作办学和学术交流，引进先进技术与人才，提升区域创新能力。</w:t>
      </w:r>
    </w:p>
    <w:p w14:paraId="60ECF28A">
      <w:pPr>
        <w:keepNext w:val="0"/>
        <w:keepLines w:val="0"/>
        <w:pageBreakBefore w:val="0"/>
        <w:wordWrap/>
        <w:overflowPunct w:val="0"/>
        <w:topLinePunct w:val="0"/>
        <w:bidi w:val="0"/>
        <w:spacing w:line="560" w:lineRule="exact"/>
        <w:ind w:firstLine="0" w:firstLineChars="0"/>
        <w:jc w:val="center"/>
        <w:rPr>
          <w:rFonts w:ascii="黑体" w:hAnsi="黑体" w:eastAsia="黑体" w:cs="黑体"/>
        </w:rPr>
      </w:pPr>
    </w:p>
    <w:p w14:paraId="6E7B6D02">
      <w:pPr>
        <w:pStyle w:val="3"/>
        <w:keepNext w:val="0"/>
        <w:keepLines w:val="0"/>
        <w:pageBreakBefore w:val="0"/>
        <w:wordWrap/>
        <w:topLinePunct w:val="0"/>
        <w:bidi w:val="0"/>
        <w:spacing w:line="560" w:lineRule="exact"/>
      </w:pPr>
      <w:bookmarkStart w:id="211" w:name="_Toc1238496967"/>
      <w:bookmarkStart w:id="212" w:name="_Toc1068783201"/>
      <w:bookmarkStart w:id="213" w:name="_Toc346200917"/>
      <w:bookmarkStart w:id="214" w:name="_Toc233272412"/>
      <w:r>
        <w:rPr>
          <w:rFonts w:hint="eastAsia"/>
        </w:rPr>
        <w:t>第十四章  强化规划实施保障，健全科学有效新机制</w:t>
      </w:r>
      <w:bookmarkEnd w:id="211"/>
      <w:bookmarkEnd w:id="212"/>
      <w:bookmarkEnd w:id="213"/>
      <w:bookmarkEnd w:id="214"/>
    </w:p>
    <w:p w14:paraId="4DF5D01E">
      <w:pPr>
        <w:keepNext w:val="0"/>
        <w:keepLines w:val="0"/>
        <w:pageBreakBefore w:val="0"/>
        <w:wordWrap/>
        <w:overflowPunct w:val="0"/>
        <w:topLinePunct w:val="0"/>
        <w:bidi w:val="0"/>
        <w:spacing w:line="560" w:lineRule="exact"/>
        <w:ind w:firstLine="0" w:firstLineChars="0"/>
        <w:jc w:val="center"/>
        <w:rPr>
          <w:rFonts w:ascii="黑体" w:hAnsi="黑体" w:eastAsia="黑体" w:cs="黑体"/>
        </w:rPr>
      </w:pPr>
    </w:p>
    <w:p w14:paraId="7D22B916">
      <w:pPr>
        <w:keepNext w:val="0"/>
        <w:keepLines w:val="0"/>
        <w:pageBreakBefore w:val="0"/>
        <w:wordWrap/>
        <w:topLinePunct w:val="0"/>
        <w:bidi w:val="0"/>
        <w:spacing w:line="560" w:lineRule="exact"/>
        <w:ind w:firstLine="640"/>
      </w:pPr>
      <w:r>
        <w:rPr>
          <w:rFonts w:hint="eastAsia"/>
        </w:rPr>
        <w:t>坚持和加强党的全面领导，充分发挥发展规划战略导向作用，健全完善规划实施机制，充分调动一切积极因素，最大程度激发各类主体的活力和创造力，凝聚起推动长清</w:t>
      </w:r>
      <w:r>
        <w:t>高质量</w:t>
      </w:r>
      <w:r>
        <w:rPr>
          <w:rFonts w:hint="eastAsia"/>
        </w:rPr>
        <w:t>发展的强大合力，确保一张蓝图绘到底。</w:t>
      </w:r>
    </w:p>
    <w:p w14:paraId="1573DC4E">
      <w:pPr>
        <w:pStyle w:val="4"/>
        <w:keepNext w:val="0"/>
        <w:keepLines w:val="0"/>
        <w:pageBreakBefore w:val="0"/>
        <w:wordWrap/>
        <w:topLinePunct w:val="0"/>
        <w:bidi w:val="0"/>
        <w:spacing w:line="560" w:lineRule="exact"/>
      </w:pPr>
      <w:bookmarkStart w:id="215" w:name="_Toc233272413"/>
      <w:bookmarkStart w:id="216" w:name="_Toc724892183"/>
      <w:bookmarkStart w:id="217" w:name="_Toc477766326"/>
      <w:r>
        <w:rPr>
          <w:rFonts w:hint="eastAsia"/>
        </w:rPr>
        <w:t>第一节  加强党的全面领导</w:t>
      </w:r>
      <w:bookmarkEnd w:id="215"/>
      <w:bookmarkEnd w:id="216"/>
      <w:bookmarkEnd w:id="217"/>
    </w:p>
    <w:p w14:paraId="35A1AC9B">
      <w:pPr>
        <w:keepNext w:val="0"/>
        <w:keepLines w:val="0"/>
        <w:pageBreakBefore w:val="0"/>
        <w:wordWrap/>
        <w:topLinePunct w:val="0"/>
        <w:bidi w:val="0"/>
        <w:spacing w:line="560" w:lineRule="exact"/>
        <w:ind w:firstLine="643"/>
      </w:pPr>
      <w:r>
        <w:rPr>
          <w:rFonts w:hint="eastAsia"/>
          <w:b/>
        </w:rPr>
        <w:t>持续强化党的政治建设</w:t>
      </w:r>
      <w:r>
        <w:rPr>
          <w:b/>
        </w:rPr>
        <w:t>。</w:t>
      </w:r>
      <w:r>
        <w:rPr>
          <w:rFonts w:hint="eastAsia"/>
        </w:rPr>
        <w:t>深入学习贯彻习近平新时代中国特色社会主义思想，持续用党的创新理论统一思想、统一意志、统一行动，坚定拥护“两个确立”、坚决做到“两个维护”，确保习近平总书记对山东、对济南工作的重要指示批示要求和党中央决策部署落地见效。把党的政治建设摆在首位，不断提高政治判断力、政治领悟力、政治执行力，持续净化党内政治生态。</w:t>
      </w:r>
    </w:p>
    <w:p w14:paraId="2964D528">
      <w:pPr>
        <w:keepNext w:val="0"/>
        <w:keepLines w:val="0"/>
        <w:pageBreakBefore w:val="0"/>
        <w:wordWrap/>
        <w:topLinePunct w:val="0"/>
        <w:bidi w:val="0"/>
        <w:spacing w:line="560" w:lineRule="exact"/>
        <w:ind w:firstLine="643"/>
      </w:pPr>
      <w:r>
        <w:rPr>
          <w:rFonts w:hint="eastAsia"/>
          <w:b/>
        </w:rPr>
        <w:t>坚持和加强党的全面领导。</w:t>
      </w:r>
      <w:r>
        <w:rPr>
          <w:rFonts w:hint="eastAsia"/>
        </w:rPr>
        <w:t>完善党集中统一领导经济社会发展的制度性安排，加强党委（党组）对全区经济社会发展各项工作的领导，推进科学决策、民主决策、依法决策。树立和践行正确政绩观，坚持厚爱与严管相结合，建立更加科学的考核评价机制，落实好容错纠错、尽职免责制度。切实加强基层党组织建设，加强基层党组织领导班子特别是书记队伍建设，充分发挥基层党组织和党员在经济社会发展中的模范带头作用。健全党员学习机制，加强和改进党员教育培训工作，锻造过硬党员队伍。始终把纪律规矩挺在前面，持之以恒抓好中央八项规定精神的落实，持续深化整治群众身边不正之风和腐败问题，切实加强党风廉政建设和反腐败工作，推动党风廉政建设向纵深发展。</w:t>
      </w:r>
    </w:p>
    <w:p w14:paraId="136E68D3">
      <w:pPr>
        <w:pStyle w:val="4"/>
        <w:keepNext w:val="0"/>
        <w:keepLines w:val="0"/>
        <w:pageBreakBefore w:val="0"/>
        <w:wordWrap/>
        <w:topLinePunct w:val="0"/>
        <w:bidi w:val="0"/>
        <w:spacing w:line="560" w:lineRule="exact"/>
      </w:pPr>
      <w:bookmarkStart w:id="218" w:name="_Toc233272414"/>
      <w:bookmarkStart w:id="219" w:name="_Toc465174244"/>
      <w:bookmarkStart w:id="220" w:name="_Toc1863822734"/>
      <w:r>
        <w:rPr>
          <w:rFonts w:hint="eastAsia"/>
        </w:rPr>
        <w:t>第二节  统筹要素保障</w:t>
      </w:r>
      <w:bookmarkEnd w:id="218"/>
      <w:bookmarkEnd w:id="219"/>
      <w:bookmarkEnd w:id="220"/>
    </w:p>
    <w:p w14:paraId="721F182A">
      <w:pPr>
        <w:keepNext w:val="0"/>
        <w:keepLines w:val="0"/>
        <w:pageBreakBefore w:val="0"/>
        <w:wordWrap/>
        <w:topLinePunct w:val="0"/>
        <w:bidi w:val="0"/>
        <w:spacing w:line="560" w:lineRule="exact"/>
        <w:ind w:firstLine="643"/>
      </w:pPr>
      <w:r>
        <w:rPr>
          <w:rFonts w:hint="eastAsia"/>
          <w:b/>
        </w:rPr>
        <w:t>强化</w:t>
      </w:r>
      <w:r>
        <w:rPr>
          <w:b/>
        </w:rPr>
        <w:t>土地要素保障</w:t>
      </w:r>
      <w:r>
        <w:rPr>
          <w:rFonts w:hint="eastAsia"/>
          <w:b/>
        </w:rPr>
        <w:t>。</w:t>
      </w:r>
      <w:r>
        <w:rPr>
          <w:rFonts w:hint="eastAsia"/>
        </w:rPr>
        <w:t>优化国土空间布局，合理划定工业用地保障红线，统筹解决新增建设用地指标、占补平衡指标，优先保障重点项目用地需求。建立完善土地供应快速报批机制，提高土地供应效率，促进项目尽快落地建设。盘活存量建设用地，通过闲置土地处置、批而未供土地处置、低效用地再开发等措施，提高土地利用效率，缓解土地供需矛盾。严格落实“拿地即开工”“要素跟着项目走”等相关机制，加快项目落地实施。</w:t>
      </w:r>
    </w:p>
    <w:p w14:paraId="2ED49875">
      <w:pPr>
        <w:keepNext w:val="0"/>
        <w:keepLines w:val="0"/>
        <w:pageBreakBefore w:val="0"/>
        <w:wordWrap/>
        <w:topLinePunct w:val="0"/>
        <w:bidi w:val="0"/>
        <w:spacing w:line="560" w:lineRule="exact"/>
        <w:ind w:firstLine="643"/>
      </w:pPr>
      <w:r>
        <w:rPr>
          <w:b/>
        </w:rPr>
        <w:t>强化资金要素保障</w:t>
      </w:r>
      <w:r>
        <w:rPr>
          <w:rFonts w:hint="eastAsia"/>
          <w:b/>
        </w:rPr>
        <w:t>。</w:t>
      </w:r>
      <w:r>
        <w:t>加大财政投入力度，优化财政支出结构，重点保障规划确定的重点任务和重大项目实施</w:t>
      </w:r>
      <w:r>
        <w:rPr>
          <w:rFonts w:hint="eastAsia"/>
        </w:rPr>
        <w:t>。</w:t>
      </w:r>
      <w:r>
        <w:t>加强政银企对接，</w:t>
      </w:r>
      <w:r>
        <w:rPr>
          <w:rFonts w:hint="eastAsia"/>
        </w:rPr>
        <w:t>促进金融资源与产业需求深度融合。</w:t>
      </w:r>
      <w:r>
        <w:t>积极争取地方政府专项债券、国债等资金支持。</w:t>
      </w:r>
      <w:r>
        <w:rPr>
          <w:rFonts w:hint="eastAsia"/>
        </w:rPr>
        <w:t>充分发挥财政政策和资金的引导带动作用，有序推进政府和社会资本合作新机制。</w:t>
      </w:r>
    </w:p>
    <w:p w14:paraId="7EDA7B81">
      <w:pPr>
        <w:keepNext w:val="0"/>
        <w:keepLines w:val="0"/>
        <w:pageBreakBefore w:val="0"/>
        <w:wordWrap/>
        <w:topLinePunct w:val="0"/>
        <w:bidi w:val="0"/>
        <w:spacing w:line="560" w:lineRule="exact"/>
        <w:ind w:firstLine="643"/>
      </w:pPr>
      <w:r>
        <w:rPr>
          <w:b/>
        </w:rPr>
        <w:t>强化人才要素保障</w:t>
      </w:r>
      <w:r>
        <w:rPr>
          <w:rFonts w:hint="eastAsia"/>
          <w:b/>
        </w:rPr>
        <w:t>。</w:t>
      </w:r>
      <w:r>
        <w:t>围绕规划实施需求，大力引进高层次创新创业人才、产业领军人才和急需紧缺人才</w:t>
      </w:r>
      <w:r>
        <w:rPr>
          <w:rFonts w:hint="eastAsia"/>
        </w:rPr>
        <w:t>，</w:t>
      </w:r>
      <w:r>
        <w:t>完善培养、引进、使用、激励机制，为人才提供优质服务，营造良好人才发展环境。</w:t>
      </w:r>
      <w:r>
        <w:rPr>
          <w:rFonts w:hint="eastAsia"/>
        </w:rPr>
        <w:t>持续推动产业工人队伍建设。</w:t>
      </w:r>
    </w:p>
    <w:p w14:paraId="32334764">
      <w:pPr>
        <w:keepNext w:val="0"/>
        <w:keepLines w:val="0"/>
        <w:pageBreakBefore w:val="0"/>
        <w:wordWrap/>
        <w:topLinePunct w:val="0"/>
        <w:bidi w:val="0"/>
        <w:spacing w:line="560" w:lineRule="exact"/>
        <w:ind w:firstLine="643"/>
      </w:pPr>
      <w:r>
        <w:rPr>
          <w:b/>
        </w:rPr>
        <w:t>强化能源要素保障</w:t>
      </w:r>
      <w:r>
        <w:rPr>
          <w:rFonts w:hint="eastAsia"/>
          <w:b/>
        </w:rPr>
        <w:t>。</w:t>
      </w:r>
      <w:r>
        <w:t>优化能源供应结构，推进清洁能源开发利用</w:t>
      </w:r>
      <w:r>
        <w:rPr>
          <w:rFonts w:hint="eastAsia"/>
        </w:rPr>
        <w:t>。</w:t>
      </w:r>
      <w:r>
        <w:t>加强能源基础设施建设，提高能源供应保障能力</w:t>
      </w:r>
      <w:r>
        <w:rPr>
          <w:rFonts w:hint="eastAsia"/>
        </w:rPr>
        <w:t>。</w:t>
      </w:r>
      <w:r>
        <w:t>强化能源节约和高效利用，推进节能降耗</w:t>
      </w:r>
      <w:r>
        <w:rPr>
          <w:rFonts w:hint="eastAsia"/>
        </w:rPr>
        <w:t>。</w:t>
      </w:r>
    </w:p>
    <w:p w14:paraId="5DE2D830">
      <w:pPr>
        <w:keepNext w:val="0"/>
        <w:keepLines w:val="0"/>
        <w:pageBreakBefore w:val="0"/>
        <w:wordWrap/>
        <w:topLinePunct w:val="0"/>
        <w:bidi w:val="0"/>
        <w:spacing w:line="560" w:lineRule="exact"/>
        <w:ind w:firstLine="643"/>
      </w:pPr>
      <w:bookmarkStart w:id="221" w:name="_Hlk216790883"/>
      <w:r>
        <w:rPr>
          <w:b/>
        </w:rPr>
        <w:t>强化水资源保障</w:t>
      </w:r>
      <w:r>
        <w:rPr>
          <w:rFonts w:hint="eastAsia"/>
          <w:b/>
        </w:rPr>
        <w:t>。</w:t>
      </w:r>
      <w:r>
        <w:rPr>
          <w:rFonts w:hint="eastAsia"/>
        </w:rPr>
        <w:t>坚持水资源刚性约束，着力提升水资源精细化、智慧化管理水平，积极构建全方位、多元化涉水服务保障体系。发挥水库、塘坝等地表水源效益，农业灌溉优先利用地表水源，谋划建设地表水源水厂。加强地下水管理，强化取用水全过程监管。加强再生水利用，到2030年城市再生水利用率达到60%。加强水资源节约集约利用，提高水资源利用效率，全面建设节水型社会。</w:t>
      </w:r>
    </w:p>
    <w:bookmarkEnd w:id="221"/>
    <w:p w14:paraId="59183A88">
      <w:pPr>
        <w:pStyle w:val="4"/>
        <w:keepNext w:val="0"/>
        <w:keepLines w:val="0"/>
        <w:pageBreakBefore w:val="0"/>
        <w:wordWrap/>
        <w:topLinePunct w:val="0"/>
        <w:bidi w:val="0"/>
        <w:spacing w:line="560" w:lineRule="exact"/>
      </w:pPr>
      <w:bookmarkStart w:id="222" w:name="_Toc535165753"/>
      <w:bookmarkStart w:id="223" w:name="_Toc233272415"/>
      <w:bookmarkStart w:id="224" w:name="_Toc327763925"/>
      <w:r>
        <w:rPr>
          <w:rFonts w:hint="eastAsia"/>
        </w:rPr>
        <w:t>第三节  健全实施机制</w:t>
      </w:r>
      <w:bookmarkEnd w:id="222"/>
      <w:bookmarkEnd w:id="223"/>
      <w:bookmarkEnd w:id="224"/>
    </w:p>
    <w:p w14:paraId="7DC9B70E">
      <w:pPr>
        <w:keepNext w:val="0"/>
        <w:keepLines w:val="0"/>
        <w:pageBreakBefore w:val="0"/>
        <w:wordWrap/>
        <w:topLinePunct w:val="0"/>
        <w:bidi w:val="0"/>
        <w:spacing w:line="560" w:lineRule="exact"/>
        <w:ind w:firstLine="643"/>
      </w:pPr>
      <w:r>
        <w:rPr>
          <w:rFonts w:hint="eastAsia"/>
          <w:b/>
        </w:rPr>
        <w:t>发挥规划引领作用。</w:t>
      </w:r>
      <w:r>
        <w:t>深刻把握新发展阶段长清发展的新战略新目标新要求，建立以发展规划为统领，空间规划为基础，专项规划、区域规划为支撑，城乡融合、区域一体、多规合一的规划体系。</w:t>
      </w:r>
      <w:r>
        <w:rPr>
          <w:rFonts w:hint="eastAsia"/>
        </w:rPr>
        <w:t>加强规划统筹，加强“十五五”规划与国土空间规划、专项规划、区域规划的融合衔接，</w:t>
      </w:r>
      <w:r>
        <w:t>落实好重大战略、重大布局和约束性指标的</w:t>
      </w:r>
      <w:r>
        <w:rPr>
          <w:rFonts w:hint="eastAsia"/>
        </w:rPr>
        <w:t>统筹协调，确保各级各类规划相互协调、形成合力。严格控制规划数量，进一步提升规划编制质量。</w:t>
      </w:r>
    </w:p>
    <w:p w14:paraId="558C52BF">
      <w:pPr>
        <w:keepNext w:val="0"/>
        <w:keepLines w:val="0"/>
        <w:pageBreakBefore w:val="0"/>
        <w:wordWrap/>
        <w:topLinePunct w:val="0"/>
        <w:bidi w:val="0"/>
        <w:spacing w:line="560" w:lineRule="exact"/>
        <w:ind w:firstLine="643"/>
      </w:pPr>
      <w:r>
        <w:rPr>
          <w:rFonts w:hint="eastAsia"/>
          <w:b/>
        </w:rPr>
        <w:t>加强政策协同。</w:t>
      </w:r>
      <w:r>
        <w:rPr>
          <w:rFonts w:hint="eastAsia"/>
        </w:rPr>
        <w:t>强化规划指导性和约束性，</w:t>
      </w:r>
      <w:r>
        <w:t>重大生</w:t>
      </w:r>
      <w:r>
        <w:rPr>
          <w:rFonts w:hint="eastAsia"/>
        </w:rPr>
        <w:t>产力布局和土地、环境、人口、社会等公共政策要服从和服务于发展规划实施，</w:t>
      </w:r>
      <w:r>
        <w:t>形成政策合力</w:t>
      </w:r>
      <w:r>
        <w:rPr>
          <w:rFonts w:hint="eastAsia"/>
        </w:rPr>
        <w:t>。优化重大项目投资领域和区域布局，健全相关推进机制，组织实施好一批关系全局和长远发展的重大项目，</w:t>
      </w:r>
      <w:r>
        <w:rPr>
          <w:rFonts w:hint="eastAsia"/>
          <w:highlight w:val="none"/>
          <w:lang w:eastAsia="zh-CN"/>
        </w:rPr>
        <w:t>加强水网、新型电网、算力网、新一代通信网、城市地下管网、物流网规划建设，</w:t>
      </w:r>
      <w:r>
        <w:rPr>
          <w:rFonts w:hint="eastAsia"/>
        </w:rPr>
        <w:t>保持投资规模稳步增长。加强财政预算与规划实施的统筹对接，合理安排财政支出规模和结构，区级财政性资金优先投向本规划确定的重大任务和重大工程项目。</w:t>
      </w:r>
    </w:p>
    <w:p w14:paraId="11904C7C">
      <w:pPr>
        <w:keepNext w:val="0"/>
        <w:keepLines w:val="0"/>
        <w:pageBreakBefore w:val="0"/>
        <w:wordWrap/>
        <w:topLinePunct w:val="0"/>
        <w:bidi w:val="0"/>
        <w:spacing w:line="560" w:lineRule="exact"/>
        <w:ind w:firstLine="643"/>
      </w:pPr>
      <w:r>
        <w:rPr>
          <w:rFonts w:hint="eastAsia"/>
          <w:b/>
        </w:rPr>
        <w:t>加强评估监督。</w:t>
      </w:r>
      <w:r>
        <w:rPr>
          <w:rFonts w:hint="eastAsia"/>
        </w:rPr>
        <w:t>科学开展年度监测分析、中期评估、专项评估和总结评估，全面掌握规划实施情况，及时发现和解决规划执行中的突出问题。强化规划权威性、严肃性，</w:t>
      </w:r>
      <w:r>
        <w:t>健全规划动态调整机制，根据国家重大政策调整、宏观环境变化和规划实施进展情况，按照规定程序对规划进行必要的调整和修订。</w:t>
      </w:r>
    </w:p>
    <w:p w14:paraId="6024575E">
      <w:pPr>
        <w:pStyle w:val="4"/>
        <w:keepNext w:val="0"/>
        <w:keepLines w:val="0"/>
        <w:pageBreakBefore w:val="0"/>
        <w:wordWrap/>
        <w:topLinePunct w:val="0"/>
        <w:bidi w:val="0"/>
        <w:spacing w:line="560" w:lineRule="exact"/>
      </w:pPr>
      <w:bookmarkStart w:id="225" w:name="_Toc799693433"/>
      <w:bookmarkStart w:id="226" w:name="_Toc233272416"/>
      <w:bookmarkStart w:id="227" w:name="_Toc627088949"/>
      <w:r>
        <w:rPr>
          <w:rFonts w:hint="eastAsia"/>
        </w:rPr>
        <w:t xml:space="preserve">第四节  </w:t>
      </w:r>
      <w:r>
        <w:t>引导社会广泛参与</w:t>
      </w:r>
      <w:bookmarkEnd w:id="225"/>
      <w:bookmarkEnd w:id="226"/>
      <w:bookmarkEnd w:id="227"/>
    </w:p>
    <w:p w14:paraId="1479D8AD">
      <w:pPr>
        <w:keepNext w:val="0"/>
        <w:keepLines w:val="0"/>
        <w:pageBreakBefore w:val="0"/>
        <w:wordWrap/>
        <w:topLinePunct w:val="0"/>
        <w:bidi w:val="0"/>
        <w:spacing w:line="560" w:lineRule="exact"/>
        <w:ind w:firstLine="643"/>
      </w:pPr>
      <w:r>
        <w:rPr>
          <w:rFonts w:hint="eastAsia"/>
          <w:b/>
        </w:rPr>
        <w:t>坚持人民主体地位</w:t>
      </w:r>
      <w:r>
        <w:rPr>
          <w:rFonts w:hint="eastAsia"/>
        </w:rPr>
        <w:t>。尊重群众意愿，尊重基层群众首创精神，大力发展社会主义民主，使各项政策、各项工作更加有效体现人民意志、保障人民权益、激发人民创造活力。</w:t>
      </w:r>
    </w:p>
    <w:p w14:paraId="2681D0A5">
      <w:pPr>
        <w:keepNext w:val="0"/>
        <w:keepLines w:val="0"/>
        <w:pageBreakBefore w:val="0"/>
        <w:wordWrap/>
        <w:topLinePunct w:val="0"/>
        <w:bidi w:val="0"/>
        <w:spacing w:line="560" w:lineRule="exact"/>
        <w:ind w:firstLine="643"/>
      </w:pPr>
      <w:r>
        <w:rPr>
          <w:rFonts w:hint="eastAsia"/>
          <w:b/>
        </w:rPr>
        <w:t>强化规划实施监督。</w:t>
      </w:r>
      <w:r>
        <w:rPr>
          <w:rFonts w:hint="eastAsia"/>
        </w:rPr>
        <w:t>及时公布实施进展，畅通监督渠道，自觉接受人大监督、审计监督和社会监督，注重发挥工会、共青团、妇联等人民团体和新闻媒体、社团组织的监督作用，以及人民政协、民主党派、工商联和无党派人士的民主监督作用。</w:t>
      </w:r>
    </w:p>
    <w:p w14:paraId="4B64B796">
      <w:pPr>
        <w:keepNext w:val="0"/>
        <w:keepLines w:val="0"/>
        <w:pageBreakBefore w:val="0"/>
        <w:wordWrap/>
        <w:topLinePunct w:val="0"/>
        <w:bidi w:val="0"/>
        <w:spacing w:line="560" w:lineRule="exact"/>
        <w:ind w:firstLine="643"/>
      </w:pPr>
      <w:r>
        <w:rPr>
          <w:rFonts w:hint="eastAsia"/>
          <w:b/>
        </w:rPr>
        <w:t>汇聚全社会共识力量。</w:t>
      </w:r>
      <w:r>
        <w:t>加强规划宣传解读</w:t>
      </w:r>
      <w:r>
        <w:rPr>
          <w:rFonts w:hint="eastAsia"/>
        </w:rPr>
        <w:t>，</w:t>
      </w:r>
      <w:r>
        <w:t>通过多种形式向社会宣传“十五五”规划的目标任务和重大意义，提高公众对规划的知晓度和认同度。不断健全政府与企业、市民的信息沟通和反馈机制，激发社会各界投身</w:t>
      </w:r>
      <w:r>
        <w:rPr>
          <w:rFonts w:hint="eastAsia"/>
        </w:rPr>
        <w:t>长清</w:t>
      </w:r>
      <w:r>
        <w:t>经济社会</w:t>
      </w:r>
      <w:r>
        <w:rPr>
          <w:rFonts w:hint="eastAsia"/>
        </w:rPr>
        <w:t>高质量</w:t>
      </w:r>
      <w:r>
        <w:t>发展的积极性、自觉性和创造性</w:t>
      </w:r>
      <w:r>
        <w:rPr>
          <w:rFonts w:hint="eastAsia"/>
        </w:rPr>
        <w:t>，集全区之力、全区之智，推动规划落地实施。</w:t>
      </w:r>
    </w:p>
    <w:p w14:paraId="303CD6ED">
      <w:pPr>
        <w:ind w:firstLine="640"/>
      </w:pPr>
    </w:p>
    <w:sectPr>
      <w:footerReference r:id="rId9" w:type="default"/>
      <w:pgSz w:w="11906" w:h="16838"/>
      <w:pgMar w:top="1701" w:right="1417" w:bottom="1587" w:left="1417" w:header="851" w:footer="992" w:gutter="0"/>
      <w:pgNumType w:fmt="numberInDash" w:start="1"/>
      <w:cols w:space="425" w:num="1"/>
      <w:docGrid w:type="lines" w:linePitch="312"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ind w:firstLine="640"/>
      </w:pPr>
      <w:r>
        <w:separator/>
      </w:r>
    </w:p>
  </w:endnote>
  <w:endnote w:type="continuationSeparator" w:id="1">
    <w:p>
      <w:pPr>
        <w:spacing w:line="240" w:lineRule="auto"/>
        <w:ind w:firstLine="64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方正书宋_GBK"/>
    <w:panose1 w:val="00000000000000000000"/>
    <w:charset w:val="86"/>
    <w:family w:val="auto"/>
    <w:pitch w:val="default"/>
    <w:sig w:usb0="00000000" w:usb1="00000000" w:usb2="00000000" w:usb3="00000000" w:csb0="00000000" w:csb1="00000000"/>
  </w:font>
  <w:font w:name="Wingdings">
    <w:altName w:val="MathJax_Vector"/>
    <w:panose1 w:val="05000000000000000000"/>
    <w:charset w:val="02"/>
    <w:family w:val="auto"/>
    <w:pitch w:val="default"/>
    <w:sig w:usb0="00000000" w:usb1="00000000" w:usb2="00000000" w:usb3="00000000" w:csb0="80000000" w:csb1="00000000"/>
  </w:font>
  <w:font w:name="Arial">
    <w:altName w:val="DejaVu Sans"/>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embedRegular r:id="rId1" w:fontKey="{00617D1F-4E4E-C09D-D2C5-616ACB978687}"/>
  </w:font>
  <w:font w:name="Courier New">
    <w:altName w:val="DejaVu Sans"/>
    <w:panose1 w:val="02070309020205020404"/>
    <w:charset w:val="01"/>
    <w:family w:val="modern"/>
    <w:pitch w:val="default"/>
    <w:sig w:usb0="E0002AFF" w:usb1="C0007843" w:usb2="00000009" w:usb3="00000000" w:csb0="400001FF" w:csb1="FFFF0000"/>
  </w:font>
  <w:font w:name="Symbol">
    <w:altName w:val="MathJax_Vector"/>
    <w:panose1 w:val="05050102010706020507"/>
    <w:charset w:val="02"/>
    <w:family w:val="roman"/>
    <w:pitch w:val="default"/>
    <w:sig w:usb0="00000000" w:usb1="00000000" w:usb2="00000000" w:usb3="00000000" w:csb0="80000000" w:csb1="00000000"/>
  </w:font>
  <w:font w:name="DejaVu Sans">
    <w:panose1 w:val="020B0603030804020204"/>
    <w:charset w:val="00"/>
    <w:family w:val="auto"/>
    <w:pitch w:val="default"/>
    <w:sig w:usb0="E7006EFF" w:usb1="D200FDFF" w:usb2="0A246029" w:usb3="0400200C" w:csb0="600001FF" w:csb1="DFFF0000"/>
    <w:embedRegular r:id="rId2" w:fontKey="{27E68001-A661-D3D8-D2C5-616A3ED63BB7}"/>
  </w:font>
  <w:font w:name="Calibri">
    <w:altName w:val="DejaVu Sans"/>
    <w:panose1 w:val="020F0502020204030204"/>
    <w:charset w:val="00"/>
    <w:family w:val="swiss"/>
    <w:pitch w:val="default"/>
    <w:sig w:usb0="00000000" w:usb1="00000000" w:usb2="00000001" w:usb3="00000000" w:csb0="0000019F" w:csb1="00000000"/>
  </w:font>
  <w:font w:name="方正书宋_GBK">
    <w:panose1 w:val="02000000000000000000"/>
    <w:charset w:val="86"/>
    <w:family w:val="auto"/>
    <w:pitch w:val="default"/>
    <w:sig w:usb0="00000001" w:usb1="08000000" w:usb2="00000000" w:usb3="00000000" w:csb0="00040000" w:csb1="00000000"/>
    <w:embedRegular r:id="rId3" w:fontKey="{4BF9D49A-DCAA-55B1-D2C5-616A77399C78}"/>
  </w:font>
  <w:font w:name="仿宋_GB2312">
    <w:panose1 w:val="02010609030101010101"/>
    <w:charset w:val="86"/>
    <w:family w:val="modern"/>
    <w:pitch w:val="default"/>
    <w:sig w:usb0="00000001" w:usb1="080E0000" w:usb2="00000000" w:usb3="00000000" w:csb0="00040000" w:csb1="00000000"/>
    <w:embedRegular r:id="rId4" w:fontKey="{1724DF7D-4DDE-9C47-D3C5-616A9276C17B}"/>
  </w:font>
  <w:font w:name="方正小标宋简体">
    <w:panose1 w:val="02000000000000000000"/>
    <w:charset w:val="86"/>
    <w:family w:val="auto"/>
    <w:pitch w:val="default"/>
    <w:sig w:usb0="A00002BF" w:usb1="184F6CFA" w:usb2="00000012" w:usb3="00000000" w:csb0="00040001" w:csb1="00000000"/>
    <w:embedRegular r:id="rId5" w:fontKey="{C2AF4381-B6AA-A37A-D3C5-616A05A1BF85}"/>
  </w:font>
  <w:font w:name="楷体_GB2312">
    <w:panose1 w:val="02010609030101010101"/>
    <w:charset w:val="86"/>
    <w:family w:val="modern"/>
    <w:pitch w:val="default"/>
    <w:sig w:usb0="00000001" w:usb1="080E0000" w:usb2="00000000" w:usb3="00000000" w:csb0="00040000" w:csb1="00000000"/>
    <w:embedRegular r:id="rId6" w:fontKey="{CC9DF1E7-CEA6-687B-D3C5-616AF1F50ED0}"/>
  </w:font>
  <w:font w:name="仿宋">
    <w:altName w:val="方正仿宋_GBK"/>
    <w:panose1 w:val="02010609060101010101"/>
    <w:charset w:val="86"/>
    <w:family w:val="modern"/>
    <w:pitch w:val="default"/>
    <w:sig w:usb0="00000000" w:usb1="00000000" w:usb2="00000016" w:usb3="00000000" w:csb0="00040001" w:csb1="00000000"/>
  </w:font>
  <w:font w:name="方正仿宋_GBK">
    <w:panose1 w:val="02000000000000000000"/>
    <w:charset w:val="86"/>
    <w:family w:val="auto"/>
    <w:pitch w:val="default"/>
    <w:sig w:usb0="00000001" w:usb1="08000000" w:usb2="00000000" w:usb3="00000000" w:csb0="00040000" w:csb1="00000000"/>
    <w:embedRegular r:id="rId7" w:fontKey="{316AFA00-E003-40D9-D3C5-616A6507104C}"/>
  </w:font>
  <w:font w:name="微软雅黑">
    <w:altName w:val="方正黑体_GBK"/>
    <w:panose1 w:val="020B0503020204020204"/>
    <w:charset w:val="86"/>
    <w:family w:val="swiss"/>
    <w:pitch w:val="default"/>
    <w:sig w:usb0="00000000" w:usb1="00000000" w:usb2="00000016" w:usb3="00000000" w:csb0="0004001F" w:csb1="00000000"/>
  </w:font>
  <w:font w:name="方正黑体_GBK">
    <w:panose1 w:val="02000000000000000000"/>
    <w:charset w:val="86"/>
    <w:family w:val="auto"/>
    <w:pitch w:val="default"/>
    <w:sig w:usb0="00000001" w:usb1="08000000" w:usb2="00000000" w:usb3="00000000" w:csb0="00040000" w:csb1="00000000"/>
    <w:embedRegular r:id="rId8" w:fontKey="{68881345-3DE6-D441-D3C5-616A272AFE55}"/>
  </w:font>
  <w:font w:name="Segoe UI">
    <w:altName w:val="Noto Naskh Arabic"/>
    <w:panose1 w:val="020B0502040204020203"/>
    <w:charset w:val="00"/>
    <w:family w:val="swiss"/>
    <w:pitch w:val="default"/>
    <w:sig w:usb0="00000000" w:usb1="00000000" w:usb2="00000009" w:usb3="00000000" w:csb0="000001FF" w:csb1="00000000"/>
  </w:font>
  <w:font w:name="Noto Naskh Arabic">
    <w:panose1 w:val="020B0502040504020204"/>
    <w:charset w:val="00"/>
    <w:family w:val="auto"/>
    <w:pitch w:val="default"/>
    <w:sig w:usb0="80002003" w:usb1="80002000" w:usb2="00000008" w:usb3="00000000" w:csb0="00000041" w:csb1="00080000"/>
    <w:embedRegular r:id="rId9" w:fontKey="{65FA4C62-3A6C-30B8-D3C5-616A7FB0C7A4}"/>
  </w:font>
  <w:font w:name="国标楷体-GB/T 2312">
    <w:panose1 w:val="02000500000000000000"/>
    <w:charset w:val="86"/>
    <w:family w:val="auto"/>
    <w:pitch w:val="default"/>
    <w:sig w:usb0="00000001" w:usb1="08000000" w:usb2="00000000" w:usb3="00000000" w:csb0="00040000" w:csb1="00000000"/>
    <w:embedRegular r:id="rId10" w:fontKey="{B4DB42E6-FBD1-5CBD-D3C5-616A631CFAFA}"/>
  </w:font>
  <w:font w:name="国标黑体">
    <w:panose1 w:val="02000500000000000000"/>
    <w:charset w:val="86"/>
    <w:family w:val="auto"/>
    <w:pitch w:val="default"/>
    <w:sig w:usb0="00000001" w:usb1="08000000" w:usb2="00000000" w:usb3="00000000" w:csb0="00040000" w:csb1="00000000"/>
    <w:embedRegular r:id="rId11" w:fontKey="{732FF8AF-CA29-4083-D3C5-616A543DC02D}"/>
  </w:font>
  <w:font w:name="华文中宋">
    <w:panose1 w:val="02010600040101010101"/>
    <w:charset w:val="86"/>
    <w:family w:val="auto"/>
    <w:pitch w:val="default"/>
    <w:sig w:usb0="00000287" w:usb1="080F0000" w:usb2="00000000" w:usb3="00000000" w:csb0="0004009F" w:csb1="DFD70000"/>
    <w:embedRegular r:id="rId12" w:fontKey="{1A01A5D4-20BF-88A9-D3C5-616AA5F41FA0}"/>
  </w:font>
  <w:font w:name="DejaVu Math TeX Gyre">
    <w:panose1 w:val="02000503000000000000"/>
    <w:charset w:val="00"/>
    <w:family w:val="auto"/>
    <w:pitch w:val="default"/>
    <w:sig w:usb0="A10000EF" w:usb1="4201F9EE" w:usb2="02000000" w:usb3="00000000" w:csb0="60000193" w:csb1="0DD40000"/>
    <w:embedRegular r:id="rId13" w:fontKey="{B9600A4C-C4C2-B38F-D3C5-616AF50FC65F}"/>
  </w:font>
  <w:font w:name="MathJax_Vector">
    <w:panose1 w:val="02000603000000000000"/>
    <w:charset w:val="00"/>
    <w:family w:val="auto"/>
    <w:pitch w:val="default"/>
    <w:sig w:usb0="00000001" w:usb1="00000020" w:usb2="00000000" w:usb3="00000000" w:csb0="00000001" w:csb1="00000000"/>
    <w:embedRegular r:id="rId14" w:fontKey="{E211AF85-04CF-6F59-D3C5-616A706E6CA2}"/>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6C0EB93">
    <w:pPr>
      <w:pStyle w:val="10"/>
      <w:ind w:firstLine="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4001600">
    <w:pPr>
      <w:pStyle w:val="10"/>
      <w:ind w:firstLine="36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749B07F">
    <w:pPr>
      <w:pStyle w:val="10"/>
      <w:ind w:firstLine="360"/>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0F4D97A">
    <w:pPr>
      <w:pStyle w:val="10"/>
      <w:ind w:firstLine="360"/>
    </w:pPr>
    <w:r>
      <mc:AlternateContent>
        <mc:Choice Requires="wps">
          <w:drawing>
            <wp:anchor distT="0" distB="0" distL="114300" distR="114300" simplePos="0" relativeHeight="251659264" behindDoc="0" locked="0" layoutInCell="1" allowOverlap="1">
              <wp:simplePos x="0" y="0"/>
              <wp:positionH relativeFrom="margin">
                <wp:align>outside</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a:effectLst/>
                    </wps:spPr>
                    <wps:txbx>
                      <w:txbxContent>
                        <w:p w14:paraId="60584C0F">
                          <w:pPr>
                            <w:pStyle w:val="10"/>
                            <w:ind w:firstLine="0" w:firstLineChars="0"/>
                          </w:pPr>
                          <w:r>
                            <w:rPr>
                              <w:rFonts w:hint="eastAsia" w:ascii="宋体" w:hAnsi="宋体" w:eastAsia="宋体" w:cs="宋体"/>
                              <w:sz w:val="30"/>
                              <w:szCs w:val="30"/>
                            </w:rPr>
                            <w:fldChar w:fldCharType="begin"/>
                          </w:r>
                          <w:r>
                            <w:rPr>
                              <w:rFonts w:hint="eastAsia" w:ascii="宋体" w:hAnsi="宋体" w:eastAsia="宋体" w:cs="宋体"/>
                              <w:sz w:val="30"/>
                              <w:szCs w:val="30"/>
                            </w:rPr>
                            <w:instrText xml:space="preserve"> PAGE  \* MERGEFORMAT </w:instrText>
                          </w:r>
                          <w:r>
                            <w:rPr>
                              <w:rFonts w:hint="eastAsia" w:ascii="宋体" w:hAnsi="宋体" w:eastAsia="宋体" w:cs="宋体"/>
                              <w:sz w:val="30"/>
                              <w:szCs w:val="30"/>
                            </w:rPr>
                            <w:fldChar w:fldCharType="separate"/>
                          </w:r>
                          <w:r>
                            <w:rPr>
                              <w:rFonts w:ascii="宋体" w:hAnsi="宋体" w:eastAsia="宋体" w:cs="宋体"/>
                              <w:sz w:val="30"/>
                              <w:szCs w:val="30"/>
                            </w:rPr>
                            <w:t>- 102 -</w:t>
                          </w:r>
                          <w:r>
                            <w:rPr>
                              <w:rFonts w:hint="eastAsia" w:ascii="宋体" w:hAnsi="宋体" w:eastAsia="宋体" w:cs="宋体"/>
                              <w:sz w:val="30"/>
                              <w:szCs w:val="30"/>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">
              <v:fill on="f" focussize="0,0"/>
              <v:stroke on="f" weight="0.5pt"/>
              <v:imagedata o:title=""/>
              <o:lock v:ext="edit" aspectratio="f"/>
              <v:textbox inset="0mm,0mm,0mm,0mm" style="mso-fit-shape-to-text:t;">
                <w:txbxContent>
                  <w:p w14:paraId="60584C0F">
                    <w:pPr>
                      <w:pStyle w:val="10"/>
                      <w:ind w:firstLine="0" w:firstLineChars="0"/>
                    </w:pPr>
                    <w:r>
                      <w:rPr>
                        <w:rFonts w:hint="eastAsia" w:ascii="宋体" w:hAnsi="宋体" w:eastAsia="宋体" w:cs="宋体"/>
                        <w:sz w:val="30"/>
                        <w:szCs w:val="30"/>
                      </w:rPr>
                      <w:fldChar w:fldCharType="begin"/>
                    </w:r>
                    <w:r>
                      <w:rPr>
                        <w:rFonts w:hint="eastAsia" w:ascii="宋体" w:hAnsi="宋体" w:eastAsia="宋体" w:cs="宋体"/>
                        <w:sz w:val="30"/>
                        <w:szCs w:val="30"/>
                      </w:rPr>
                      <w:instrText xml:space="preserve"> PAGE  \* MERGEFORMAT </w:instrText>
                    </w:r>
                    <w:r>
                      <w:rPr>
                        <w:rFonts w:hint="eastAsia" w:ascii="宋体" w:hAnsi="宋体" w:eastAsia="宋体" w:cs="宋体"/>
                        <w:sz w:val="30"/>
                        <w:szCs w:val="30"/>
                      </w:rPr>
                      <w:fldChar w:fldCharType="separate"/>
                    </w:r>
                    <w:r>
                      <w:rPr>
                        <w:rFonts w:ascii="宋体" w:hAnsi="宋体" w:eastAsia="宋体" w:cs="宋体"/>
                        <w:sz w:val="30"/>
                        <w:szCs w:val="30"/>
                      </w:rPr>
                      <w:t>- 102 -</w:t>
                    </w:r>
                    <w:r>
                      <w:rPr>
                        <w:rFonts w:hint="eastAsia" w:ascii="宋体" w:hAnsi="宋体" w:eastAsia="宋体" w:cs="宋体"/>
                        <w:sz w:val="30"/>
                        <w:szCs w:val="30"/>
                      </w:rPr>
                      <w:fldChar w:fldCharType="end"/>
                    </w:r>
                  </w:p>
                </w:txbxContent>
              </v:textbox>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line="240" w:lineRule="auto"/>
        <w:ind w:firstLine="640"/>
      </w:pPr>
      <w:r>
        <w:separator/>
      </w:r>
    </w:p>
  </w:footnote>
  <w:footnote w:type="continuationSeparator" w:id="1">
    <w:p>
      <w:pPr>
        <w:spacing w:line="240" w:lineRule="auto"/>
        <w:ind w:firstLine="640"/>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0C6D75A">
    <w:pPr>
      <w:pStyle w:val="11"/>
      <w:ind w:firstLine="360"/>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TrueTypeFonts/>
  <w:saveSubsetFonts/>
  <w:documentProtection w:enforcement="0"/>
  <w:defaultTabStop w:val="420"/>
  <w:drawingGridVerticalSpacing w:val="156"/>
  <w:noPunctuationKerning w:val="1"/>
  <w:characterSpacingControl w:val="compressPunctuation"/>
  <w:hdrShapeDefaults>
    <o:shapelayout v:ext="edit">
      <o:idmap v:ext="edit" data="1"/>
    </o:shapelayout>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ODRjNjI5N2I3M2MzOTk3MTNkNjhjNGFjODMwZmEzNGYifQ=="/>
  </w:docVars>
  <w:rsids>
    <w:rsidRoot w:val="1ABC1687"/>
    <w:rsid w:val="00074988"/>
    <w:rsid w:val="00085046"/>
    <w:rsid w:val="000A0979"/>
    <w:rsid w:val="00175F5E"/>
    <w:rsid w:val="001B51B0"/>
    <w:rsid w:val="00213E74"/>
    <w:rsid w:val="00215AA4"/>
    <w:rsid w:val="0034174A"/>
    <w:rsid w:val="00363C18"/>
    <w:rsid w:val="00442D51"/>
    <w:rsid w:val="0071553B"/>
    <w:rsid w:val="00720674"/>
    <w:rsid w:val="007767D7"/>
    <w:rsid w:val="007C5F52"/>
    <w:rsid w:val="007F3ABA"/>
    <w:rsid w:val="00861E95"/>
    <w:rsid w:val="008D30DE"/>
    <w:rsid w:val="009A5EF7"/>
    <w:rsid w:val="00D35CD0"/>
    <w:rsid w:val="00DB2F6D"/>
    <w:rsid w:val="00DE65C7"/>
    <w:rsid w:val="00E07161"/>
    <w:rsid w:val="00FF5022"/>
    <w:rsid w:val="012D4FAD"/>
    <w:rsid w:val="01C42B8B"/>
    <w:rsid w:val="01D134FA"/>
    <w:rsid w:val="01D211EC"/>
    <w:rsid w:val="020411DA"/>
    <w:rsid w:val="023A2821"/>
    <w:rsid w:val="02504E99"/>
    <w:rsid w:val="02704AC1"/>
    <w:rsid w:val="0270686F"/>
    <w:rsid w:val="028265A2"/>
    <w:rsid w:val="02D23086"/>
    <w:rsid w:val="02FA438B"/>
    <w:rsid w:val="03634626"/>
    <w:rsid w:val="03681CE8"/>
    <w:rsid w:val="0374238F"/>
    <w:rsid w:val="03CE7CF1"/>
    <w:rsid w:val="04161698"/>
    <w:rsid w:val="04446205"/>
    <w:rsid w:val="04846602"/>
    <w:rsid w:val="04956A61"/>
    <w:rsid w:val="04E86B91"/>
    <w:rsid w:val="04ED7685"/>
    <w:rsid w:val="0543026B"/>
    <w:rsid w:val="05575083"/>
    <w:rsid w:val="057FBF8D"/>
    <w:rsid w:val="058851B0"/>
    <w:rsid w:val="05A83124"/>
    <w:rsid w:val="05AF6A86"/>
    <w:rsid w:val="05FC9124"/>
    <w:rsid w:val="06376252"/>
    <w:rsid w:val="068648B3"/>
    <w:rsid w:val="068A1256"/>
    <w:rsid w:val="06B17456"/>
    <w:rsid w:val="06D4668A"/>
    <w:rsid w:val="07092259"/>
    <w:rsid w:val="073C0CED"/>
    <w:rsid w:val="07A53B7C"/>
    <w:rsid w:val="07D17DB0"/>
    <w:rsid w:val="080478A9"/>
    <w:rsid w:val="08566507"/>
    <w:rsid w:val="0873596D"/>
    <w:rsid w:val="092B34F0"/>
    <w:rsid w:val="0972111F"/>
    <w:rsid w:val="09722ECD"/>
    <w:rsid w:val="09C676BC"/>
    <w:rsid w:val="09FA6333"/>
    <w:rsid w:val="0AA25A34"/>
    <w:rsid w:val="0ABC149A"/>
    <w:rsid w:val="0BD0037E"/>
    <w:rsid w:val="0BD90EC7"/>
    <w:rsid w:val="0BDF4383"/>
    <w:rsid w:val="0C394176"/>
    <w:rsid w:val="0C807FF6"/>
    <w:rsid w:val="0C9A19A3"/>
    <w:rsid w:val="0CB02B88"/>
    <w:rsid w:val="0CB41A4E"/>
    <w:rsid w:val="0CD803A1"/>
    <w:rsid w:val="0DA43871"/>
    <w:rsid w:val="0DC504DF"/>
    <w:rsid w:val="0E4B0190"/>
    <w:rsid w:val="0EA76F53"/>
    <w:rsid w:val="0EC40CA2"/>
    <w:rsid w:val="0ED40186"/>
    <w:rsid w:val="0EEE7F54"/>
    <w:rsid w:val="0EF381A1"/>
    <w:rsid w:val="0F105E3C"/>
    <w:rsid w:val="0F297AC2"/>
    <w:rsid w:val="0F7D6A6F"/>
    <w:rsid w:val="0FE12B5A"/>
    <w:rsid w:val="0FFE0AE5"/>
    <w:rsid w:val="103A37B8"/>
    <w:rsid w:val="10AF3AED"/>
    <w:rsid w:val="10DC13BC"/>
    <w:rsid w:val="10F16DCD"/>
    <w:rsid w:val="10F17433"/>
    <w:rsid w:val="11F9096A"/>
    <w:rsid w:val="121974DA"/>
    <w:rsid w:val="122F5A80"/>
    <w:rsid w:val="126618CC"/>
    <w:rsid w:val="12704669"/>
    <w:rsid w:val="127F48AC"/>
    <w:rsid w:val="12DD1CFF"/>
    <w:rsid w:val="13117BFA"/>
    <w:rsid w:val="13545D39"/>
    <w:rsid w:val="13906D71"/>
    <w:rsid w:val="13C7650B"/>
    <w:rsid w:val="13EE5846"/>
    <w:rsid w:val="141D480D"/>
    <w:rsid w:val="144D5ECF"/>
    <w:rsid w:val="14A979BF"/>
    <w:rsid w:val="14D47131"/>
    <w:rsid w:val="14F43330"/>
    <w:rsid w:val="14FF2E9B"/>
    <w:rsid w:val="155110A0"/>
    <w:rsid w:val="156A1844"/>
    <w:rsid w:val="156D6C3E"/>
    <w:rsid w:val="156E30E2"/>
    <w:rsid w:val="159468C1"/>
    <w:rsid w:val="15BD7BC5"/>
    <w:rsid w:val="16797F90"/>
    <w:rsid w:val="167A1613"/>
    <w:rsid w:val="16C25A7F"/>
    <w:rsid w:val="16FE7328"/>
    <w:rsid w:val="171E28E6"/>
    <w:rsid w:val="17DED3DB"/>
    <w:rsid w:val="17EF415E"/>
    <w:rsid w:val="18381785"/>
    <w:rsid w:val="185D2F9A"/>
    <w:rsid w:val="18E56476"/>
    <w:rsid w:val="192F6510"/>
    <w:rsid w:val="19971745"/>
    <w:rsid w:val="19BD324B"/>
    <w:rsid w:val="19F12BDF"/>
    <w:rsid w:val="1A077661"/>
    <w:rsid w:val="1A7C2D76"/>
    <w:rsid w:val="1ABC1687"/>
    <w:rsid w:val="1AE824B8"/>
    <w:rsid w:val="1AFA5418"/>
    <w:rsid w:val="1B5B244B"/>
    <w:rsid w:val="1BB225CC"/>
    <w:rsid w:val="1BC53330"/>
    <w:rsid w:val="1C184299"/>
    <w:rsid w:val="1C1B73F4"/>
    <w:rsid w:val="1CC47A8B"/>
    <w:rsid w:val="1CDF1F26"/>
    <w:rsid w:val="1D033E9C"/>
    <w:rsid w:val="1D5619F8"/>
    <w:rsid w:val="1DCB4E4A"/>
    <w:rsid w:val="1DD75756"/>
    <w:rsid w:val="1DFE0020"/>
    <w:rsid w:val="1DFFBDD5"/>
    <w:rsid w:val="1E4D2342"/>
    <w:rsid w:val="1E8219AC"/>
    <w:rsid w:val="1EC2624D"/>
    <w:rsid w:val="1ED015A4"/>
    <w:rsid w:val="1ED3045A"/>
    <w:rsid w:val="1ED3F526"/>
    <w:rsid w:val="1EE37FE5"/>
    <w:rsid w:val="1EE7180F"/>
    <w:rsid w:val="1EEF3A4D"/>
    <w:rsid w:val="1EFB73DD"/>
    <w:rsid w:val="1F3C53BD"/>
    <w:rsid w:val="1F901EA7"/>
    <w:rsid w:val="1F9F20EA"/>
    <w:rsid w:val="1FAF317C"/>
    <w:rsid w:val="1FB479B6"/>
    <w:rsid w:val="20174376"/>
    <w:rsid w:val="204C4020"/>
    <w:rsid w:val="20CF69FF"/>
    <w:rsid w:val="2177331E"/>
    <w:rsid w:val="21F901D7"/>
    <w:rsid w:val="22596EC8"/>
    <w:rsid w:val="22E93DEE"/>
    <w:rsid w:val="2311074F"/>
    <w:rsid w:val="23616034"/>
    <w:rsid w:val="23621DAC"/>
    <w:rsid w:val="23BC770E"/>
    <w:rsid w:val="2413502B"/>
    <w:rsid w:val="244426D6"/>
    <w:rsid w:val="245931AF"/>
    <w:rsid w:val="246102B6"/>
    <w:rsid w:val="2466E1B0"/>
    <w:rsid w:val="246F652F"/>
    <w:rsid w:val="247F0B22"/>
    <w:rsid w:val="24AF7273"/>
    <w:rsid w:val="24C83E91"/>
    <w:rsid w:val="24F42ED8"/>
    <w:rsid w:val="24F44C86"/>
    <w:rsid w:val="252C352E"/>
    <w:rsid w:val="2579012B"/>
    <w:rsid w:val="258677B0"/>
    <w:rsid w:val="25897AC4"/>
    <w:rsid w:val="25BC3C42"/>
    <w:rsid w:val="25C26B32"/>
    <w:rsid w:val="25C77555"/>
    <w:rsid w:val="260251ED"/>
    <w:rsid w:val="267C5CFF"/>
    <w:rsid w:val="26A86D7E"/>
    <w:rsid w:val="27233E50"/>
    <w:rsid w:val="27361586"/>
    <w:rsid w:val="28486025"/>
    <w:rsid w:val="28D728F5"/>
    <w:rsid w:val="28ED036A"/>
    <w:rsid w:val="28FB73F8"/>
    <w:rsid w:val="294B3BBE"/>
    <w:rsid w:val="29B80978"/>
    <w:rsid w:val="29FD282F"/>
    <w:rsid w:val="2A077209"/>
    <w:rsid w:val="2A7523C5"/>
    <w:rsid w:val="2AA808CF"/>
    <w:rsid w:val="2AC31382"/>
    <w:rsid w:val="2ADB156E"/>
    <w:rsid w:val="2AEF03C9"/>
    <w:rsid w:val="2AF552B4"/>
    <w:rsid w:val="2B261911"/>
    <w:rsid w:val="2B51698E"/>
    <w:rsid w:val="2B575539"/>
    <w:rsid w:val="2B6B3C80"/>
    <w:rsid w:val="2B6C8A39"/>
    <w:rsid w:val="2BB51096"/>
    <w:rsid w:val="2BCE4483"/>
    <w:rsid w:val="2BFD474A"/>
    <w:rsid w:val="2C0F23A5"/>
    <w:rsid w:val="2C3050D1"/>
    <w:rsid w:val="2C530119"/>
    <w:rsid w:val="2C536736"/>
    <w:rsid w:val="2C6B6070"/>
    <w:rsid w:val="2C7E2B27"/>
    <w:rsid w:val="2C967968"/>
    <w:rsid w:val="2CC82C80"/>
    <w:rsid w:val="2CC969F8"/>
    <w:rsid w:val="2D5FAE21"/>
    <w:rsid w:val="2D9C3532"/>
    <w:rsid w:val="2DAD1E76"/>
    <w:rsid w:val="2DBF0527"/>
    <w:rsid w:val="2DF97066"/>
    <w:rsid w:val="2DFF6B75"/>
    <w:rsid w:val="2E3A5291"/>
    <w:rsid w:val="2E545310"/>
    <w:rsid w:val="2E917C1C"/>
    <w:rsid w:val="2EA80FBB"/>
    <w:rsid w:val="2ED00512"/>
    <w:rsid w:val="2F414F6C"/>
    <w:rsid w:val="2F9A6BDB"/>
    <w:rsid w:val="2FE77F3B"/>
    <w:rsid w:val="305111DE"/>
    <w:rsid w:val="30AA08EF"/>
    <w:rsid w:val="314F3970"/>
    <w:rsid w:val="31747A8D"/>
    <w:rsid w:val="31BF5971"/>
    <w:rsid w:val="31DB16A7"/>
    <w:rsid w:val="3259539C"/>
    <w:rsid w:val="32AA2E28"/>
    <w:rsid w:val="331C0D00"/>
    <w:rsid w:val="33751688"/>
    <w:rsid w:val="33D23D9C"/>
    <w:rsid w:val="33E6644E"/>
    <w:rsid w:val="33F76E6C"/>
    <w:rsid w:val="33FF0938"/>
    <w:rsid w:val="340131C6"/>
    <w:rsid w:val="340A6274"/>
    <w:rsid w:val="341715C0"/>
    <w:rsid w:val="342B439E"/>
    <w:rsid w:val="348C2F90"/>
    <w:rsid w:val="359FDFC3"/>
    <w:rsid w:val="359FECE7"/>
    <w:rsid w:val="35B04BF9"/>
    <w:rsid w:val="35DC154A"/>
    <w:rsid w:val="35F5260C"/>
    <w:rsid w:val="36160F00"/>
    <w:rsid w:val="362F8A65"/>
    <w:rsid w:val="364F375B"/>
    <w:rsid w:val="367D3FAE"/>
    <w:rsid w:val="368F12FD"/>
    <w:rsid w:val="37135440"/>
    <w:rsid w:val="375301EB"/>
    <w:rsid w:val="3777BB54"/>
    <w:rsid w:val="3777CBE6"/>
    <w:rsid w:val="377D04DE"/>
    <w:rsid w:val="377F5772"/>
    <w:rsid w:val="379E15FA"/>
    <w:rsid w:val="37BD53AB"/>
    <w:rsid w:val="37CF580A"/>
    <w:rsid w:val="37DDD3F7"/>
    <w:rsid w:val="37EA40E9"/>
    <w:rsid w:val="37EDDD08"/>
    <w:rsid w:val="37F59112"/>
    <w:rsid w:val="37F78A49"/>
    <w:rsid w:val="37FFAC15"/>
    <w:rsid w:val="380A05F1"/>
    <w:rsid w:val="38156F95"/>
    <w:rsid w:val="3834566E"/>
    <w:rsid w:val="386C1756"/>
    <w:rsid w:val="38746481"/>
    <w:rsid w:val="38826B2B"/>
    <w:rsid w:val="38E240FC"/>
    <w:rsid w:val="38E47094"/>
    <w:rsid w:val="39167469"/>
    <w:rsid w:val="39671A73"/>
    <w:rsid w:val="396FEB8B"/>
    <w:rsid w:val="397E5575"/>
    <w:rsid w:val="39AB8979"/>
    <w:rsid w:val="39CD7221"/>
    <w:rsid w:val="3A125E82"/>
    <w:rsid w:val="3A175247"/>
    <w:rsid w:val="3A184B1B"/>
    <w:rsid w:val="3A6D30B9"/>
    <w:rsid w:val="3A757C07"/>
    <w:rsid w:val="3AA30888"/>
    <w:rsid w:val="3ABB3E24"/>
    <w:rsid w:val="3AC73F12"/>
    <w:rsid w:val="3ACF5B21"/>
    <w:rsid w:val="3AE7439F"/>
    <w:rsid w:val="3B0F30C7"/>
    <w:rsid w:val="3B3F453C"/>
    <w:rsid w:val="3B4200A1"/>
    <w:rsid w:val="3B567FF1"/>
    <w:rsid w:val="3B7B426E"/>
    <w:rsid w:val="3B893F22"/>
    <w:rsid w:val="3B983226"/>
    <w:rsid w:val="3B9D5C20"/>
    <w:rsid w:val="3BA15E2F"/>
    <w:rsid w:val="3BCD02B3"/>
    <w:rsid w:val="3BFED53D"/>
    <w:rsid w:val="3C21415B"/>
    <w:rsid w:val="3C22760B"/>
    <w:rsid w:val="3C243C4B"/>
    <w:rsid w:val="3C2F4C83"/>
    <w:rsid w:val="3C2FCE98"/>
    <w:rsid w:val="3C3B7327"/>
    <w:rsid w:val="3C920BB5"/>
    <w:rsid w:val="3CB274A9"/>
    <w:rsid w:val="3CC70F33"/>
    <w:rsid w:val="3CDDCA11"/>
    <w:rsid w:val="3CF5D085"/>
    <w:rsid w:val="3D5C1022"/>
    <w:rsid w:val="3D6F9175"/>
    <w:rsid w:val="3D766728"/>
    <w:rsid w:val="3D9D17B5"/>
    <w:rsid w:val="3DBA03C3"/>
    <w:rsid w:val="3DE84C68"/>
    <w:rsid w:val="3DFF04CC"/>
    <w:rsid w:val="3E0A5ADE"/>
    <w:rsid w:val="3E178252"/>
    <w:rsid w:val="3E4800C5"/>
    <w:rsid w:val="3E546A69"/>
    <w:rsid w:val="3E7CCFE9"/>
    <w:rsid w:val="3E7E2C30"/>
    <w:rsid w:val="3EB87B29"/>
    <w:rsid w:val="3EBF2E2E"/>
    <w:rsid w:val="3ECE6F08"/>
    <w:rsid w:val="3F316DAB"/>
    <w:rsid w:val="3F74350A"/>
    <w:rsid w:val="3F778BD6"/>
    <w:rsid w:val="3F8F762D"/>
    <w:rsid w:val="3FA950B4"/>
    <w:rsid w:val="3FAFD8DD"/>
    <w:rsid w:val="3FB75C8F"/>
    <w:rsid w:val="3FBFB0D1"/>
    <w:rsid w:val="3FBFBBA1"/>
    <w:rsid w:val="3FD08726"/>
    <w:rsid w:val="3FD6908F"/>
    <w:rsid w:val="3FDFC646"/>
    <w:rsid w:val="3FE73BA0"/>
    <w:rsid w:val="3FE7C1F3"/>
    <w:rsid w:val="3FEFDB39"/>
    <w:rsid w:val="3FF53839"/>
    <w:rsid w:val="3FF878C8"/>
    <w:rsid w:val="3FFCD713"/>
    <w:rsid w:val="3FFE39B9"/>
    <w:rsid w:val="3FFF9697"/>
    <w:rsid w:val="3FFFDC74"/>
    <w:rsid w:val="408D1287"/>
    <w:rsid w:val="418E0254"/>
    <w:rsid w:val="41C24389"/>
    <w:rsid w:val="421579A2"/>
    <w:rsid w:val="427B469B"/>
    <w:rsid w:val="42DA5063"/>
    <w:rsid w:val="42F44377"/>
    <w:rsid w:val="430009FF"/>
    <w:rsid w:val="432E64ED"/>
    <w:rsid w:val="433C5D1E"/>
    <w:rsid w:val="43454BD3"/>
    <w:rsid w:val="4355293C"/>
    <w:rsid w:val="435713BE"/>
    <w:rsid w:val="437FF7F3"/>
    <w:rsid w:val="43811983"/>
    <w:rsid w:val="43963680"/>
    <w:rsid w:val="43BD9AB6"/>
    <w:rsid w:val="43C57AC2"/>
    <w:rsid w:val="43EA7528"/>
    <w:rsid w:val="441F54F1"/>
    <w:rsid w:val="44930AA0"/>
    <w:rsid w:val="453C3DB3"/>
    <w:rsid w:val="4575075B"/>
    <w:rsid w:val="45837C34"/>
    <w:rsid w:val="459A4E95"/>
    <w:rsid w:val="45B46040"/>
    <w:rsid w:val="45E716EF"/>
    <w:rsid w:val="45F57E49"/>
    <w:rsid w:val="463902F3"/>
    <w:rsid w:val="4698303F"/>
    <w:rsid w:val="46CE3131"/>
    <w:rsid w:val="46F801AE"/>
    <w:rsid w:val="473B56E9"/>
    <w:rsid w:val="474131AA"/>
    <w:rsid w:val="47B440D5"/>
    <w:rsid w:val="47E250E6"/>
    <w:rsid w:val="481D611E"/>
    <w:rsid w:val="482E20D9"/>
    <w:rsid w:val="483721C5"/>
    <w:rsid w:val="486C1621"/>
    <w:rsid w:val="48B87BF5"/>
    <w:rsid w:val="48D507A7"/>
    <w:rsid w:val="4981448B"/>
    <w:rsid w:val="498A0BDF"/>
    <w:rsid w:val="4A026925"/>
    <w:rsid w:val="4A401868"/>
    <w:rsid w:val="4A7A76B3"/>
    <w:rsid w:val="4ADA6548"/>
    <w:rsid w:val="4AF40EAE"/>
    <w:rsid w:val="4B5775B9"/>
    <w:rsid w:val="4B6275B3"/>
    <w:rsid w:val="4BB01057"/>
    <w:rsid w:val="4BC4906F"/>
    <w:rsid w:val="4CA97D27"/>
    <w:rsid w:val="4CCA6D92"/>
    <w:rsid w:val="4CEF795D"/>
    <w:rsid w:val="4CFD3D11"/>
    <w:rsid w:val="4D225F85"/>
    <w:rsid w:val="4D2677E2"/>
    <w:rsid w:val="4D2C295F"/>
    <w:rsid w:val="4D4E28D6"/>
    <w:rsid w:val="4D6336E3"/>
    <w:rsid w:val="4D861D9B"/>
    <w:rsid w:val="4E7E3F82"/>
    <w:rsid w:val="4E7E58E4"/>
    <w:rsid w:val="4E8D6E8F"/>
    <w:rsid w:val="4E9FE05C"/>
    <w:rsid w:val="4EAFE1EF"/>
    <w:rsid w:val="4EB83F6D"/>
    <w:rsid w:val="4EC5306C"/>
    <w:rsid w:val="4F162C3C"/>
    <w:rsid w:val="4F3F72E5"/>
    <w:rsid w:val="4F4F6BCD"/>
    <w:rsid w:val="4F860A4D"/>
    <w:rsid w:val="4FA97489"/>
    <w:rsid w:val="4FAE2DF6"/>
    <w:rsid w:val="4FD73280"/>
    <w:rsid w:val="4FF08080"/>
    <w:rsid w:val="4FFA730E"/>
    <w:rsid w:val="4FFF3EA5"/>
    <w:rsid w:val="4FFFC12C"/>
    <w:rsid w:val="4FFFF3B2"/>
    <w:rsid w:val="50373AF5"/>
    <w:rsid w:val="50574197"/>
    <w:rsid w:val="506A47B6"/>
    <w:rsid w:val="50AC44E3"/>
    <w:rsid w:val="50DC35C0"/>
    <w:rsid w:val="50F87728"/>
    <w:rsid w:val="51172D0B"/>
    <w:rsid w:val="528924DF"/>
    <w:rsid w:val="52B4767F"/>
    <w:rsid w:val="52BC29D7"/>
    <w:rsid w:val="52C75604"/>
    <w:rsid w:val="52CF44B9"/>
    <w:rsid w:val="534348A6"/>
    <w:rsid w:val="539B3654"/>
    <w:rsid w:val="53B73404"/>
    <w:rsid w:val="54842B79"/>
    <w:rsid w:val="549F9547"/>
    <w:rsid w:val="54D222B5"/>
    <w:rsid w:val="54E5003A"/>
    <w:rsid w:val="54EE9993"/>
    <w:rsid w:val="55164621"/>
    <w:rsid w:val="551779D9"/>
    <w:rsid w:val="55254864"/>
    <w:rsid w:val="55391C1A"/>
    <w:rsid w:val="556C3316"/>
    <w:rsid w:val="55887D13"/>
    <w:rsid w:val="559942DC"/>
    <w:rsid w:val="55AD2D44"/>
    <w:rsid w:val="55FFCDE1"/>
    <w:rsid w:val="564B4220"/>
    <w:rsid w:val="56D31D46"/>
    <w:rsid w:val="57590E48"/>
    <w:rsid w:val="576A0E6F"/>
    <w:rsid w:val="5777CFEB"/>
    <w:rsid w:val="57BB500C"/>
    <w:rsid w:val="57EBF3D5"/>
    <w:rsid w:val="57EFA819"/>
    <w:rsid w:val="581A49FA"/>
    <w:rsid w:val="5823446A"/>
    <w:rsid w:val="58855B3E"/>
    <w:rsid w:val="58BD6B62"/>
    <w:rsid w:val="591377A0"/>
    <w:rsid w:val="59725B9E"/>
    <w:rsid w:val="597FC8B0"/>
    <w:rsid w:val="598B720D"/>
    <w:rsid w:val="59EE3139"/>
    <w:rsid w:val="59F70D77"/>
    <w:rsid w:val="59FC7C10"/>
    <w:rsid w:val="5A3F2778"/>
    <w:rsid w:val="5A4B2B37"/>
    <w:rsid w:val="5A5654C0"/>
    <w:rsid w:val="5A8269AE"/>
    <w:rsid w:val="5AD05272"/>
    <w:rsid w:val="5AD14B46"/>
    <w:rsid w:val="5AE152F5"/>
    <w:rsid w:val="5B0647F0"/>
    <w:rsid w:val="5B356558"/>
    <w:rsid w:val="5B3E042E"/>
    <w:rsid w:val="5B9F4FB9"/>
    <w:rsid w:val="5BAE96B2"/>
    <w:rsid w:val="5BBB201F"/>
    <w:rsid w:val="5BEEAD6B"/>
    <w:rsid w:val="5C2F0DB0"/>
    <w:rsid w:val="5C8005D2"/>
    <w:rsid w:val="5CA53C37"/>
    <w:rsid w:val="5CB63FF4"/>
    <w:rsid w:val="5CDF6E47"/>
    <w:rsid w:val="5D4A4EC4"/>
    <w:rsid w:val="5D670B9A"/>
    <w:rsid w:val="5D7B3284"/>
    <w:rsid w:val="5D7B95A4"/>
    <w:rsid w:val="5D8B722E"/>
    <w:rsid w:val="5D9AA9EF"/>
    <w:rsid w:val="5DBDB784"/>
    <w:rsid w:val="5DC00580"/>
    <w:rsid w:val="5DC15346"/>
    <w:rsid w:val="5DF43025"/>
    <w:rsid w:val="5E3B6E8B"/>
    <w:rsid w:val="5E3F5041"/>
    <w:rsid w:val="5E53F2FA"/>
    <w:rsid w:val="5E895E64"/>
    <w:rsid w:val="5ED3F034"/>
    <w:rsid w:val="5EE19445"/>
    <w:rsid w:val="5EEFCA37"/>
    <w:rsid w:val="5EF6656C"/>
    <w:rsid w:val="5F2E07B9"/>
    <w:rsid w:val="5F483178"/>
    <w:rsid w:val="5F776396"/>
    <w:rsid w:val="5F78E5F4"/>
    <w:rsid w:val="5F7D8110"/>
    <w:rsid w:val="5F864151"/>
    <w:rsid w:val="5F9A0CFC"/>
    <w:rsid w:val="5F9E5914"/>
    <w:rsid w:val="5FBF942E"/>
    <w:rsid w:val="5FCF40B1"/>
    <w:rsid w:val="5FD61304"/>
    <w:rsid w:val="5FD77844"/>
    <w:rsid w:val="5FDED38B"/>
    <w:rsid w:val="5FE9B802"/>
    <w:rsid w:val="5FEB526C"/>
    <w:rsid w:val="5FF92B75"/>
    <w:rsid w:val="5FF93304"/>
    <w:rsid w:val="5FFB9B01"/>
    <w:rsid w:val="5FFF6861"/>
    <w:rsid w:val="601405C9"/>
    <w:rsid w:val="601B6F8F"/>
    <w:rsid w:val="60A056E7"/>
    <w:rsid w:val="61045C75"/>
    <w:rsid w:val="61377DF9"/>
    <w:rsid w:val="61435228"/>
    <w:rsid w:val="619C5EAE"/>
    <w:rsid w:val="61A11716"/>
    <w:rsid w:val="61B6196C"/>
    <w:rsid w:val="61C807BC"/>
    <w:rsid w:val="61D23CC7"/>
    <w:rsid w:val="620F7085"/>
    <w:rsid w:val="627E5177"/>
    <w:rsid w:val="62B15948"/>
    <w:rsid w:val="62F35FA1"/>
    <w:rsid w:val="63027F93"/>
    <w:rsid w:val="637349EC"/>
    <w:rsid w:val="637BA190"/>
    <w:rsid w:val="63894210"/>
    <w:rsid w:val="63CD4E0A"/>
    <w:rsid w:val="63DC1670"/>
    <w:rsid w:val="63F0428F"/>
    <w:rsid w:val="63FFEF70"/>
    <w:rsid w:val="64065C6C"/>
    <w:rsid w:val="64076491"/>
    <w:rsid w:val="642F7CE1"/>
    <w:rsid w:val="648B60B3"/>
    <w:rsid w:val="64BB3545"/>
    <w:rsid w:val="64EF02BC"/>
    <w:rsid w:val="650F6997"/>
    <w:rsid w:val="65220A04"/>
    <w:rsid w:val="654E74BF"/>
    <w:rsid w:val="656E1CF8"/>
    <w:rsid w:val="659C2113"/>
    <w:rsid w:val="65A46B21"/>
    <w:rsid w:val="65A47F8A"/>
    <w:rsid w:val="65AE4402"/>
    <w:rsid w:val="66212140"/>
    <w:rsid w:val="66304E17"/>
    <w:rsid w:val="66CE491C"/>
    <w:rsid w:val="66FF300A"/>
    <w:rsid w:val="6732696D"/>
    <w:rsid w:val="675D530E"/>
    <w:rsid w:val="67644D50"/>
    <w:rsid w:val="678D13C4"/>
    <w:rsid w:val="679A3A1F"/>
    <w:rsid w:val="67A45ABC"/>
    <w:rsid w:val="67BF55C3"/>
    <w:rsid w:val="67DF1A4A"/>
    <w:rsid w:val="67E4035F"/>
    <w:rsid w:val="682D5AB2"/>
    <w:rsid w:val="68462B22"/>
    <w:rsid w:val="68802085"/>
    <w:rsid w:val="68E469A9"/>
    <w:rsid w:val="691602F4"/>
    <w:rsid w:val="695D49CA"/>
    <w:rsid w:val="69670B4F"/>
    <w:rsid w:val="69787200"/>
    <w:rsid w:val="697D65C5"/>
    <w:rsid w:val="69A43B52"/>
    <w:rsid w:val="69F8DB7B"/>
    <w:rsid w:val="69FF99E6"/>
    <w:rsid w:val="6A107439"/>
    <w:rsid w:val="6A39355C"/>
    <w:rsid w:val="6AB69F52"/>
    <w:rsid w:val="6AE52F26"/>
    <w:rsid w:val="6AFBAF7C"/>
    <w:rsid w:val="6B19DEC3"/>
    <w:rsid w:val="6B9F0C7C"/>
    <w:rsid w:val="6BBB5183"/>
    <w:rsid w:val="6BC7E18C"/>
    <w:rsid w:val="6BD12BF8"/>
    <w:rsid w:val="6BDB9AAC"/>
    <w:rsid w:val="6BDFF1D9"/>
    <w:rsid w:val="6BEF5DC6"/>
    <w:rsid w:val="6C1D41AD"/>
    <w:rsid w:val="6C223454"/>
    <w:rsid w:val="6C427652"/>
    <w:rsid w:val="6C6B9BD1"/>
    <w:rsid w:val="6CBFB01D"/>
    <w:rsid w:val="6CC626E4"/>
    <w:rsid w:val="6CCD1190"/>
    <w:rsid w:val="6CEF1588"/>
    <w:rsid w:val="6D1A617B"/>
    <w:rsid w:val="6D65184A"/>
    <w:rsid w:val="6D776D50"/>
    <w:rsid w:val="6D9F2E49"/>
    <w:rsid w:val="6DA13D69"/>
    <w:rsid w:val="6DC97156"/>
    <w:rsid w:val="6DDE54D5"/>
    <w:rsid w:val="6DF8446C"/>
    <w:rsid w:val="6E1158E5"/>
    <w:rsid w:val="6E3B0EA6"/>
    <w:rsid w:val="6EB26A2B"/>
    <w:rsid w:val="6EC86534"/>
    <w:rsid w:val="6EF7F4C8"/>
    <w:rsid w:val="6F101C4E"/>
    <w:rsid w:val="6F194F18"/>
    <w:rsid w:val="6F3C5208"/>
    <w:rsid w:val="6F4A0F7D"/>
    <w:rsid w:val="6F4C154A"/>
    <w:rsid w:val="6F7F86AE"/>
    <w:rsid w:val="6F8C57B4"/>
    <w:rsid w:val="6F9ACF22"/>
    <w:rsid w:val="6F9C003D"/>
    <w:rsid w:val="6F9DE441"/>
    <w:rsid w:val="6FBE3493"/>
    <w:rsid w:val="6FBF0925"/>
    <w:rsid w:val="6FBF60DD"/>
    <w:rsid w:val="6FC969CA"/>
    <w:rsid w:val="6FD43318"/>
    <w:rsid w:val="6FD7C45B"/>
    <w:rsid w:val="6FDFDBED"/>
    <w:rsid w:val="6FE3953A"/>
    <w:rsid w:val="6FE980D8"/>
    <w:rsid w:val="6FEE132F"/>
    <w:rsid w:val="6FF380F7"/>
    <w:rsid w:val="6FF5BBE3"/>
    <w:rsid w:val="6FF7757B"/>
    <w:rsid w:val="6FFC9892"/>
    <w:rsid w:val="6FFE1813"/>
    <w:rsid w:val="6FFF0347"/>
    <w:rsid w:val="703A4196"/>
    <w:rsid w:val="703B0F88"/>
    <w:rsid w:val="708C533F"/>
    <w:rsid w:val="70AB7EBB"/>
    <w:rsid w:val="710B2708"/>
    <w:rsid w:val="711F050A"/>
    <w:rsid w:val="7176BE62"/>
    <w:rsid w:val="71D41CF6"/>
    <w:rsid w:val="71E573FD"/>
    <w:rsid w:val="71EA7B61"/>
    <w:rsid w:val="71F3BA05"/>
    <w:rsid w:val="71F6082D"/>
    <w:rsid w:val="71F78A10"/>
    <w:rsid w:val="71FF88BE"/>
    <w:rsid w:val="72565C05"/>
    <w:rsid w:val="72DFFE5A"/>
    <w:rsid w:val="731F5709"/>
    <w:rsid w:val="737760DC"/>
    <w:rsid w:val="73DA6814"/>
    <w:rsid w:val="73EC3DC6"/>
    <w:rsid w:val="73EFF3FC"/>
    <w:rsid w:val="73F9FC5D"/>
    <w:rsid w:val="73FE1652"/>
    <w:rsid w:val="73FE39CD"/>
    <w:rsid w:val="74884070"/>
    <w:rsid w:val="74C90910"/>
    <w:rsid w:val="74E3FAA7"/>
    <w:rsid w:val="74EF29B8"/>
    <w:rsid w:val="74F70583"/>
    <w:rsid w:val="753541F8"/>
    <w:rsid w:val="756690C5"/>
    <w:rsid w:val="757F36C5"/>
    <w:rsid w:val="75BE4172"/>
    <w:rsid w:val="75DD0CF6"/>
    <w:rsid w:val="76760624"/>
    <w:rsid w:val="76805946"/>
    <w:rsid w:val="768B4D41"/>
    <w:rsid w:val="76BF646F"/>
    <w:rsid w:val="76C38B2C"/>
    <w:rsid w:val="76C84BF7"/>
    <w:rsid w:val="76CD220E"/>
    <w:rsid w:val="76D7637B"/>
    <w:rsid w:val="76DA1352"/>
    <w:rsid w:val="76F71F9D"/>
    <w:rsid w:val="76FD2AF3"/>
    <w:rsid w:val="77185B7F"/>
    <w:rsid w:val="77364257"/>
    <w:rsid w:val="773D7394"/>
    <w:rsid w:val="774F18F7"/>
    <w:rsid w:val="77514BED"/>
    <w:rsid w:val="775D17E4"/>
    <w:rsid w:val="777C7EBC"/>
    <w:rsid w:val="77910BDF"/>
    <w:rsid w:val="77AD1BC0"/>
    <w:rsid w:val="77AE5352"/>
    <w:rsid w:val="77BB2D62"/>
    <w:rsid w:val="77BF2B1E"/>
    <w:rsid w:val="77BFEBC3"/>
    <w:rsid w:val="77CC51FD"/>
    <w:rsid w:val="77DDD223"/>
    <w:rsid w:val="77F700A7"/>
    <w:rsid w:val="77F70C4B"/>
    <w:rsid w:val="77FA45F9"/>
    <w:rsid w:val="781E71C5"/>
    <w:rsid w:val="784A25B6"/>
    <w:rsid w:val="787E1A12"/>
    <w:rsid w:val="7973E397"/>
    <w:rsid w:val="79776F22"/>
    <w:rsid w:val="797A882E"/>
    <w:rsid w:val="797EAF7C"/>
    <w:rsid w:val="797FFEDC"/>
    <w:rsid w:val="799254CB"/>
    <w:rsid w:val="79EE0E19"/>
    <w:rsid w:val="79FDB253"/>
    <w:rsid w:val="7A236D15"/>
    <w:rsid w:val="7A6FF8A3"/>
    <w:rsid w:val="7ABFD316"/>
    <w:rsid w:val="7B09415C"/>
    <w:rsid w:val="7B79C410"/>
    <w:rsid w:val="7B810197"/>
    <w:rsid w:val="7BBB10B5"/>
    <w:rsid w:val="7BD753B7"/>
    <w:rsid w:val="7BD7ACEA"/>
    <w:rsid w:val="7BDA6AE4"/>
    <w:rsid w:val="7BE503E5"/>
    <w:rsid w:val="7BFF277E"/>
    <w:rsid w:val="7BFFA984"/>
    <w:rsid w:val="7C3C2310"/>
    <w:rsid w:val="7C442F72"/>
    <w:rsid w:val="7C480CB4"/>
    <w:rsid w:val="7C790E6E"/>
    <w:rsid w:val="7C7E9563"/>
    <w:rsid w:val="7CB7730E"/>
    <w:rsid w:val="7CF8FB35"/>
    <w:rsid w:val="7D3D00ED"/>
    <w:rsid w:val="7D545437"/>
    <w:rsid w:val="7D553689"/>
    <w:rsid w:val="7D584F27"/>
    <w:rsid w:val="7D5FDBD7"/>
    <w:rsid w:val="7D6F9B0E"/>
    <w:rsid w:val="7D9F1E2C"/>
    <w:rsid w:val="7DBF2F24"/>
    <w:rsid w:val="7DBFF3D4"/>
    <w:rsid w:val="7DDBC23A"/>
    <w:rsid w:val="7DE844FD"/>
    <w:rsid w:val="7DF764EE"/>
    <w:rsid w:val="7DF84014"/>
    <w:rsid w:val="7E4B7737"/>
    <w:rsid w:val="7E7DAEA6"/>
    <w:rsid w:val="7E9F263A"/>
    <w:rsid w:val="7EBE525E"/>
    <w:rsid w:val="7ECF746B"/>
    <w:rsid w:val="7EECA1EC"/>
    <w:rsid w:val="7EF24F07"/>
    <w:rsid w:val="7EFC4ACA"/>
    <w:rsid w:val="7EFEF6A1"/>
    <w:rsid w:val="7EFFF1C8"/>
    <w:rsid w:val="7F052E8D"/>
    <w:rsid w:val="7F130046"/>
    <w:rsid w:val="7F1DAA07"/>
    <w:rsid w:val="7F350F87"/>
    <w:rsid w:val="7F370A1C"/>
    <w:rsid w:val="7F3D2196"/>
    <w:rsid w:val="7F5160D2"/>
    <w:rsid w:val="7F5F664E"/>
    <w:rsid w:val="7F6D6D1A"/>
    <w:rsid w:val="7F6F584B"/>
    <w:rsid w:val="7F7A13D6"/>
    <w:rsid w:val="7F7EDEBE"/>
    <w:rsid w:val="7F7F0767"/>
    <w:rsid w:val="7F7F332D"/>
    <w:rsid w:val="7F7FAEF4"/>
    <w:rsid w:val="7F8F9039"/>
    <w:rsid w:val="7F93403D"/>
    <w:rsid w:val="7F97E109"/>
    <w:rsid w:val="7F9BBA20"/>
    <w:rsid w:val="7F9BEA2A"/>
    <w:rsid w:val="7F9E4D0E"/>
    <w:rsid w:val="7F9F2D43"/>
    <w:rsid w:val="7FABE326"/>
    <w:rsid w:val="7FB0104A"/>
    <w:rsid w:val="7FB607DF"/>
    <w:rsid w:val="7FB95654"/>
    <w:rsid w:val="7FBAE7E1"/>
    <w:rsid w:val="7FBDA45F"/>
    <w:rsid w:val="7FBF0D77"/>
    <w:rsid w:val="7FBF8B19"/>
    <w:rsid w:val="7FCB7A46"/>
    <w:rsid w:val="7FCF2CB6"/>
    <w:rsid w:val="7FCFC1C8"/>
    <w:rsid w:val="7FD721D6"/>
    <w:rsid w:val="7FD74225"/>
    <w:rsid w:val="7FDCE499"/>
    <w:rsid w:val="7FDDDDDA"/>
    <w:rsid w:val="7FDF2DE5"/>
    <w:rsid w:val="7FDF723A"/>
    <w:rsid w:val="7FE25B22"/>
    <w:rsid w:val="7FE6542A"/>
    <w:rsid w:val="7FEF02F5"/>
    <w:rsid w:val="7FF58194"/>
    <w:rsid w:val="7FF6AC76"/>
    <w:rsid w:val="7FF7A66D"/>
    <w:rsid w:val="7FF8652B"/>
    <w:rsid w:val="7FF93A64"/>
    <w:rsid w:val="7FFA2AAB"/>
    <w:rsid w:val="7FFCCAC5"/>
    <w:rsid w:val="7FFE4477"/>
    <w:rsid w:val="7FFE5A65"/>
    <w:rsid w:val="7FFEE3AF"/>
    <w:rsid w:val="7FFF05AA"/>
    <w:rsid w:val="7FFF1042"/>
    <w:rsid w:val="7FFF64CC"/>
    <w:rsid w:val="7FFF7470"/>
    <w:rsid w:val="7FFF8C35"/>
    <w:rsid w:val="7FFFF1FF"/>
    <w:rsid w:val="83B2A315"/>
    <w:rsid w:val="8DDF17FD"/>
    <w:rsid w:val="8E9E488E"/>
    <w:rsid w:val="8F7A3461"/>
    <w:rsid w:val="8FFF7245"/>
    <w:rsid w:val="932B39B6"/>
    <w:rsid w:val="97D423AA"/>
    <w:rsid w:val="98DF271C"/>
    <w:rsid w:val="9BEE766A"/>
    <w:rsid w:val="9BFF7304"/>
    <w:rsid w:val="9EAB9B0B"/>
    <w:rsid w:val="9F3FEA2A"/>
    <w:rsid w:val="9F572F1A"/>
    <w:rsid w:val="9F5FEEFF"/>
    <w:rsid w:val="9F65530F"/>
    <w:rsid w:val="9F6F1E6C"/>
    <w:rsid w:val="9FEE4464"/>
    <w:rsid w:val="9FEFECE1"/>
    <w:rsid w:val="9FFE104F"/>
    <w:rsid w:val="9FFE197E"/>
    <w:rsid w:val="A38AED76"/>
    <w:rsid w:val="A3D77D52"/>
    <w:rsid w:val="A5FEAD38"/>
    <w:rsid w:val="A97248C1"/>
    <w:rsid w:val="A9FFEBAD"/>
    <w:rsid w:val="AA7A2680"/>
    <w:rsid w:val="AB2142D2"/>
    <w:rsid w:val="AC67803E"/>
    <w:rsid w:val="AD95957F"/>
    <w:rsid w:val="AD9BB66E"/>
    <w:rsid w:val="AED12E44"/>
    <w:rsid w:val="AF1F7375"/>
    <w:rsid w:val="AF3F4707"/>
    <w:rsid w:val="AFCC7581"/>
    <w:rsid w:val="AFD8B10F"/>
    <w:rsid w:val="AFDEF2A8"/>
    <w:rsid w:val="AFF9885F"/>
    <w:rsid w:val="AFFF32CF"/>
    <w:rsid w:val="B1BCFD59"/>
    <w:rsid w:val="B29B8D86"/>
    <w:rsid w:val="B2BF9609"/>
    <w:rsid w:val="B3E3C1D5"/>
    <w:rsid w:val="B57D86F1"/>
    <w:rsid w:val="B5E1A5F6"/>
    <w:rsid w:val="B5EF4EB6"/>
    <w:rsid w:val="B5F7A0AB"/>
    <w:rsid w:val="B6EBFD9B"/>
    <w:rsid w:val="B7CF9901"/>
    <w:rsid w:val="B7D4C632"/>
    <w:rsid w:val="B7EFCB84"/>
    <w:rsid w:val="B9E7EDCA"/>
    <w:rsid w:val="BB7F37A8"/>
    <w:rsid w:val="BB9E094A"/>
    <w:rsid w:val="BBFFB343"/>
    <w:rsid w:val="BCEF4EE9"/>
    <w:rsid w:val="BCEF8142"/>
    <w:rsid w:val="BCFF3C48"/>
    <w:rsid w:val="BE78E492"/>
    <w:rsid w:val="BEB4477A"/>
    <w:rsid w:val="BEDFDBD4"/>
    <w:rsid w:val="BF57B4C3"/>
    <w:rsid w:val="BF5FBCC5"/>
    <w:rsid w:val="BF7B2807"/>
    <w:rsid w:val="BF7DE54A"/>
    <w:rsid w:val="BF7F09DF"/>
    <w:rsid w:val="BFBF2A2F"/>
    <w:rsid w:val="BFBF73B1"/>
    <w:rsid w:val="BFCF25EC"/>
    <w:rsid w:val="BFCF3687"/>
    <w:rsid w:val="BFD5A9E5"/>
    <w:rsid w:val="BFD662EF"/>
    <w:rsid w:val="BFDE2065"/>
    <w:rsid w:val="BFE71CCE"/>
    <w:rsid w:val="BFE73D97"/>
    <w:rsid w:val="BFEB26EE"/>
    <w:rsid w:val="BFEB5E67"/>
    <w:rsid w:val="BFF923AD"/>
    <w:rsid w:val="BFFCB443"/>
    <w:rsid w:val="BFFE8789"/>
    <w:rsid w:val="BFFF0008"/>
    <w:rsid w:val="C3BDAC3E"/>
    <w:rsid w:val="C52D88C0"/>
    <w:rsid w:val="C6D7DE05"/>
    <w:rsid w:val="C7FF4F0E"/>
    <w:rsid w:val="C95F1C75"/>
    <w:rsid w:val="CAF7522F"/>
    <w:rsid w:val="CB9CB4FF"/>
    <w:rsid w:val="CBBDA0BB"/>
    <w:rsid w:val="CBFD3352"/>
    <w:rsid w:val="CD2F6078"/>
    <w:rsid w:val="CF6FEF5D"/>
    <w:rsid w:val="CF7F83C7"/>
    <w:rsid w:val="CFBD2AC3"/>
    <w:rsid w:val="CFF7C028"/>
    <w:rsid w:val="CFF8795D"/>
    <w:rsid w:val="CFFF2367"/>
    <w:rsid w:val="D3FF9A3C"/>
    <w:rsid w:val="D7572D3C"/>
    <w:rsid w:val="D77F6216"/>
    <w:rsid w:val="D7FF4101"/>
    <w:rsid w:val="D9394484"/>
    <w:rsid w:val="D93FFCE5"/>
    <w:rsid w:val="D97774DF"/>
    <w:rsid w:val="D9CB1258"/>
    <w:rsid w:val="DAFD4FC5"/>
    <w:rsid w:val="DB2EBBAD"/>
    <w:rsid w:val="DBFCA2DE"/>
    <w:rsid w:val="DBFF8A74"/>
    <w:rsid w:val="DBFFB63C"/>
    <w:rsid w:val="DDA343E8"/>
    <w:rsid w:val="DDDBC6EF"/>
    <w:rsid w:val="DDDE5674"/>
    <w:rsid w:val="DDFE6F9A"/>
    <w:rsid w:val="DDFEB140"/>
    <w:rsid w:val="DE37F1B9"/>
    <w:rsid w:val="DE6F5906"/>
    <w:rsid w:val="DE7F4705"/>
    <w:rsid w:val="DE9FDED5"/>
    <w:rsid w:val="DEBD61EF"/>
    <w:rsid w:val="DED72E85"/>
    <w:rsid w:val="DEE3261D"/>
    <w:rsid w:val="DEEEF6B2"/>
    <w:rsid w:val="DEEFB5A5"/>
    <w:rsid w:val="DEFCC1FA"/>
    <w:rsid w:val="DF318874"/>
    <w:rsid w:val="DF32A5C6"/>
    <w:rsid w:val="DF5F902F"/>
    <w:rsid w:val="DF73A25D"/>
    <w:rsid w:val="DF9FE156"/>
    <w:rsid w:val="DFAB92D2"/>
    <w:rsid w:val="DFAFCFF5"/>
    <w:rsid w:val="DFB29F94"/>
    <w:rsid w:val="DFF5EE73"/>
    <w:rsid w:val="DFF7B382"/>
    <w:rsid w:val="DFFD9D73"/>
    <w:rsid w:val="DFFF1C5C"/>
    <w:rsid w:val="DFFF8417"/>
    <w:rsid w:val="DFFFCCC8"/>
    <w:rsid w:val="E3EAFB53"/>
    <w:rsid w:val="E53AE6DC"/>
    <w:rsid w:val="E6B8CDD0"/>
    <w:rsid w:val="E79BAAEE"/>
    <w:rsid w:val="E7F5DB8B"/>
    <w:rsid w:val="E87E9A1A"/>
    <w:rsid w:val="EB5749F8"/>
    <w:rsid w:val="EB7F11A5"/>
    <w:rsid w:val="EBD7167B"/>
    <w:rsid w:val="EBD7BC0E"/>
    <w:rsid w:val="EBDDC145"/>
    <w:rsid w:val="EBE6B6DA"/>
    <w:rsid w:val="EBEFA53B"/>
    <w:rsid w:val="EBF9FA3A"/>
    <w:rsid w:val="EC5FCE3A"/>
    <w:rsid w:val="ED75167C"/>
    <w:rsid w:val="EDD14F43"/>
    <w:rsid w:val="EDEDC0D9"/>
    <w:rsid w:val="EDFB0E63"/>
    <w:rsid w:val="EE3F6463"/>
    <w:rsid w:val="EE4E48C3"/>
    <w:rsid w:val="EE64A7B6"/>
    <w:rsid w:val="EED1FDAB"/>
    <w:rsid w:val="EEF5DE30"/>
    <w:rsid w:val="EEFD606F"/>
    <w:rsid w:val="EF1AC34D"/>
    <w:rsid w:val="EF36FA1E"/>
    <w:rsid w:val="EF6F5854"/>
    <w:rsid w:val="EF9964B6"/>
    <w:rsid w:val="EFAFBB3D"/>
    <w:rsid w:val="EFBFE5CB"/>
    <w:rsid w:val="EFDA5FCF"/>
    <w:rsid w:val="EFDD874D"/>
    <w:rsid w:val="EFDE4628"/>
    <w:rsid w:val="EFE70245"/>
    <w:rsid w:val="EFEC3D03"/>
    <w:rsid w:val="EFEF5350"/>
    <w:rsid w:val="EFFF8970"/>
    <w:rsid w:val="F0D6BF93"/>
    <w:rsid w:val="F17BAE5C"/>
    <w:rsid w:val="F17EAE08"/>
    <w:rsid w:val="F1AF6A1D"/>
    <w:rsid w:val="F2FF7873"/>
    <w:rsid w:val="F33F9818"/>
    <w:rsid w:val="F37EE85B"/>
    <w:rsid w:val="F38F820C"/>
    <w:rsid w:val="F39CBBE3"/>
    <w:rsid w:val="F3BFD23B"/>
    <w:rsid w:val="F3C774BA"/>
    <w:rsid w:val="F3EBB15E"/>
    <w:rsid w:val="F3FDC6C8"/>
    <w:rsid w:val="F47F53BA"/>
    <w:rsid w:val="F4D18ECB"/>
    <w:rsid w:val="F4DFAB77"/>
    <w:rsid w:val="F4E551F2"/>
    <w:rsid w:val="F4FF58B1"/>
    <w:rsid w:val="F4FF72FC"/>
    <w:rsid w:val="F517A1C3"/>
    <w:rsid w:val="F54EE1C7"/>
    <w:rsid w:val="F5791DC8"/>
    <w:rsid w:val="F58F7207"/>
    <w:rsid w:val="F5DF93E1"/>
    <w:rsid w:val="F5EF8325"/>
    <w:rsid w:val="F5FC0C70"/>
    <w:rsid w:val="F6551F21"/>
    <w:rsid w:val="F679498C"/>
    <w:rsid w:val="F67F9C4C"/>
    <w:rsid w:val="F6BED2C7"/>
    <w:rsid w:val="F6E108D9"/>
    <w:rsid w:val="F6FDD43F"/>
    <w:rsid w:val="F6FF612F"/>
    <w:rsid w:val="F73FD428"/>
    <w:rsid w:val="F76D516F"/>
    <w:rsid w:val="F775BC3A"/>
    <w:rsid w:val="F77937D1"/>
    <w:rsid w:val="F7BC1A6D"/>
    <w:rsid w:val="F7CDEE7D"/>
    <w:rsid w:val="F7DB05AC"/>
    <w:rsid w:val="F7DD5F3C"/>
    <w:rsid w:val="F7DE68AC"/>
    <w:rsid w:val="F7DF4C51"/>
    <w:rsid w:val="F7DF7E62"/>
    <w:rsid w:val="F7E550DE"/>
    <w:rsid w:val="F7ED9C40"/>
    <w:rsid w:val="F7EF1950"/>
    <w:rsid w:val="F7F74A07"/>
    <w:rsid w:val="F7FAD4A0"/>
    <w:rsid w:val="F7FB2A08"/>
    <w:rsid w:val="F7FCE5F4"/>
    <w:rsid w:val="F7FF9E64"/>
    <w:rsid w:val="F97E273C"/>
    <w:rsid w:val="F97E3CF9"/>
    <w:rsid w:val="F9E73B82"/>
    <w:rsid w:val="F9F39F33"/>
    <w:rsid w:val="F9FB4C65"/>
    <w:rsid w:val="FADF1DFF"/>
    <w:rsid w:val="FAF42AF1"/>
    <w:rsid w:val="FAF83BB8"/>
    <w:rsid w:val="FB27A28E"/>
    <w:rsid w:val="FB37551C"/>
    <w:rsid w:val="FB7F1909"/>
    <w:rsid w:val="FB96570A"/>
    <w:rsid w:val="FBB79F21"/>
    <w:rsid w:val="FBBC3CA8"/>
    <w:rsid w:val="FBDB8005"/>
    <w:rsid w:val="FBDD2458"/>
    <w:rsid w:val="FBDD5D10"/>
    <w:rsid w:val="FBDF3940"/>
    <w:rsid w:val="FBDFF01D"/>
    <w:rsid w:val="FBF72253"/>
    <w:rsid w:val="FBFBA41A"/>
    <w:rsid w:val="FBFDB28C"/>
    <w:rsid w:val="FBFF087F"/>
    <w:rsid w:val="FBFF9C96"/>
    <w:rsid w:val="FC3A05AC"/>
    <w:rsid w:val="FCBF2938"/>
    <w:rsid w:val="FCEFA6DA"/>
    <w:rsid w:val="FCF7EBA7"/>
    <w:rsid w:val="FCFA37A0"/>
    <w:rsid w:val="FD4D594E"/>
    <w:rsid w:val="FD7F0892"/>
    <w:rsid w:val="FD7FADC1"/>
    <w:rsid w:val="FDBF82ED"/>
    <w:rsid w:val="FDEB9E78"/>
    <w:rsid w:val="FDF7DBA3"/>
    <w:rsid w:val="FDFAE4AE"/>
    <w:rsid w:val="FDFBC17F"/>
    <w:rsid w:val="FDFBF04B"/>
    <w:rsid w:val="FDFE9B8D"/>
    <w:rsid w:val="FDFFEA7D"/>
    <w:rsid w:val="FE5A15D3"/>
    <w:rsid w:val="FE6B136F"/>
    <w:rsid w:val="FE7758A5"/>
    <w:rsid w:val="FE8B1D3B"/>
    <w:rsid w:val="FE9FB1CE"/>
    <w:rsid w:val="FEA84EDC"/>
    <w:rsid w:val="FEAF4323"/>
    <w:rsid w:val="FEB34038"/>
    <w:rsid w:val="FEB59DFD"/>
    <w:rsid w:val="FEB74FCD"/>
    <w:rsid w:val="FEBB4C31"/>
    <w:rsid w:val="FEBF9E69"/>
    <w:rsid w:val="FECF8709"/>
    <w:rsid w:val="FEDF3646"/>
    <w:rsid w:val="FEE9BAEC"/>
    <w:rsid w:val="FEF47EE5"/>
    <w:rsid w:val="FEF7647F"/>
    <w:rsid w:val="FEFEBD51"/>
    <w:rsid w:val="FF1E5C01"/>
    <w:rsid w:val="FF3D5B2E"/>
    <w:rsid w:val="FF3F708D"/>
    <w:rsid w:val="FF3FFE02"/>
    <w:rsid w:val="FF536F85"/>
    <w:rsid w:val="FF579761"/>
    <w:rsid w:val="FF5FAA2B"/>
    <w:rsid w:val="FF6FC836"/>
    <w:rsid w:val="FF7465FF"/>
    <w:rsid w:val="FF76327F"/>
    <w:rsid w:val="FF7A0607"/>
    <w:rsid w:val="FF7DCEC4"/>
    <w:rsid w:val="FF99DC9A"/>
    <w:rsid w:val="FF9DD972"/>
    <w:rsid w:val="FF9EFC95"/>
    <w:rsid w:val="FFA7331B"/>
    <w:rsid w:val="FFBF1842"/>
    <w:rsid w:val="FFBF3948"/>
    <w:rsid w:val="FFBF7B39"/>
    <w:rsid w:val="FFD74B6C"/>
    <w:rsid w:val="FFDB7E00"/>
    <w:rsid w:val="FFDD0818"/>
    <w:rsid w:val="FFDF9217"/>
    <w:rsid w:val="FFDFAE9A"/>
    <w:rsid w:val="FFE13355"/>
    <w:rsid w:val="FFE6A7F1"/>
    <w:rsid w:val="FFEA54B0"/>
    <w:rsid w:val="FFEF6F93"/>
    <w:rsid w:val="FFF68811"/>
    <w:rsid w:val="FFF745F8"/>
    <w:rsid w:val="FFF7AED3"/>
    <w:rsid w:val="FFF7B7E1"/>
    <w:rsid w:val="FFFE121B"/>
    <w:rsid w:val="FFFF055C"/>
    <w:rsid w:val="FFFF2B09"/>
    <w:rsid w:val="FFFF4A3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39" w:semiHidden="0" w:name="toc 1"/>
    <w:lsdException w:qFormat="1" w:unhideWhenUsed="0" w:uiPriority="39" w:semiHidden="0" w:name="toc 2"/>
    <w:lsdException w:qFormat="1" w:unhideWhenUsed="0" w:uiPriority="39"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qFormat="1"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semiHidden="0" w:name="Default Paragraph Font"/>
    <w:lsdException w:qFormat="1" w:unhideWhenUsed="0" w:uiPriority="99" w:semiHidden="0" w:name="Body Text"/>
    <w:lsdException w:qFormat="1" w:uiPriority="99"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qFormat="1" w:uiPriority="99"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qFormat="1" w:unhideWhenUsed="0" w:uiPriority="99" w:semiHidden="0" w:name="Body Text Indent 2"/>
    <w:lsdException w:unhideWhenUsed="0" w:uiPriority="0" w:semiHidden="0" w:name="Body Text Indent 3"/>
    <w:lsdException w:unhideWhenUsed="0" w:uiPriority="0" w:semiHidden="0" w:name="Block Text"/>
    <w:lsdException w:qFormat="1" w:uiPriority="99"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qFormat="1"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spacing w:line="600" w:lineRule="exact"/>
      <w:ind w:firstLine="880" w:firstLineChars="200"/>
      <w:jc w:val="both"/>
    </w:pPr>
    <w:rPr>
      <w:rFonts w:ascii="仿宋_GB2312" w:hAnsi="仿宋_GB2312" w:eastAsia="仿宋_GB2312" w:cs="仿宋_GB2312"/>
      <w:kern w:val="2"/>
      <w:sz w:val="32"/>
      <w:szCs w:val="32"/>
      <w:lang w:val="en-US" w:eastAsia="zh-CN" w:bidi="ar-SA"/>
    </w:rPr>
  </w:style>
  <w:style w:type="paragraph" w:styleId="2">
    <w:name w:val="heading 1"/>
    <w:basedOn w:val="1"/>
    <w:next w:val="1"/>
    <w:qFormat/>
    <w:uiPriority w:val="0"/>
    <w:pPr>
      <w:kinsoku w:val="0"/>
      <w:overflowPunct w:val="0"/>
      <w:ind w:firstLine="0" w:firstLineChars="0"/>
      <w:jc w:val="center"/>
      <w:outlineLvl w:val="0"/>
    </w:pPr>
    <w:rPr>
      <w:rFonts w:ascii="方正小标宋简体" w:hAnsi="方正小标宋简体" w:eastAsia="楷体_GB2312" w:cs="楷体_GB2312"/>
      <w:kern w:val="44"/>
      <w:sz w:val="36"/>
      <w:szCs w:val="36"/>
    </w:rPr>
  </w:style>
  <w:style w:type="paragraph" w:styleId="3">
    <w:name w:val="heading 2"/>
    <w:basedOn w:val="1"/>
    <w:next w:val="1"/>
    <w:link w:val="24"/>
    <w:unhideWhenUsed/>
    <w:qFormat/>
    <w:uiPriority w:val="0"/>
    <w:pPr>
      <w:ind w:firstLine="0" w:firstLineChars="0"/>
      <w:jc w:val="center"/>
      <w:outlineLvl w:val="1"/>
    </w:pPr>
    <w:rPr>
      <w:rFonts w:ascii="黑体" w:hAnsi="黑体" w:eastAsia="黑体" w:cs="黑体"/>
      <w:szCs w:val="22"/>
    </w:rPr>
  </w:style>
  <w:style w:type="paragraph" w:styleId="4">
    <w:name w:val="heading 3"/>
    <w:basedOn w:val="1"/>
    <w:next w:val="1"/>
    <w:link w:val="25"/>
    <w:unhideWhenUsed/>
    <w:qFormat/>
    <w:uiPriority w:val="0"/>
    <w:pPr>
      <w:kinsoku w:val="0"/>
      <w:overflowPunct w:val="0"/>
      <w:ind w:firstLine="0" w:firstLineChars="0"/>
      <w:jc w:val="center"/>
      <w:outlineLvl w:val="2"/>
    </w:pPr>
    <w:rPr>
      <w:rFonts w:ascii="楷体_GB2312" w:hAnsi="楷体_GB2312" w:eastAsia="黑体" w:cs="楷体_GB2312"/>
      <w:szCs w:val="22"/>
    </w:rPr>
  </w:style>
  <w:style w:type="character" w:default="1" w:styleId="18">
    <w:name w:val="Default Paragraph Font"/>
    <w:unhideWhenUsed/>
    <w:qFormat/>
    <w:uiPriority w:val="1"/>
  </w:style>
  <w:style w:type="table" w:default="1" w:styleId="16">
    <w:name w:val="Normal Table"/>
    <w:semiHidden/>
    <w:unhideWhenUsed/>
    <w:qFormat/>
    <w:uiPriority w:val="99"/>
    <w:tblPr>
      <w:tblCellMar>
        <w:top w:w="0" w:type="dxa"/>
        <w:left w:w="108" w:type="dxa"/>
        <w:bottom w:w="0" w:type="dxa"/>
        <w:right w:w="108" w:type="dxa"/>
      </w:tblCellMar>
    </w:tblPr>
  </w:style>
  <w:style w:type="paragraph" w:styleId="5">
    <w:name w:val="Body Text"/>
    <w:basedOn w:val="1"/>
    <w:next w:val="1"/>
    <w:qFormat/>
    <w:uiPriority w:val="99"/>
    <w:pPr>
      <w:spacing w:after="120"/>
    </w:pPr>
  </w:style>
  <w:style w:type="paragraph" w:styleId="6">
    <w:name w:val="Body Text Indent"/>
    <w:basedOn w:val="1"/>
    <w:unhideWhenUsed/>
    <w:qFormat/>
    <w:uiPriority w:val="99"/>
    <w:pPr>
      <w:spacing w:after="120"/>
      <w:ind w:left="420" w:leftChars="200"/>
    </w:pPr>
  </w:style>
  <w:style w:type="paragraph" w:styleId="7">
    <w:name w:val="toc 3"/>
    <w:basedOn w:val="1"/>
    <w:next w:val="1"/>
    <w:qFormat/>
    <w:uiPriority w:val="39"/>
    <w:pPr>
      <w:ind w:left="840" w:leftChars="400"/>
    </w:pPr>
  </w:style>
  <w:style w:type="paragraph" w:styleId="8">
    <w:name w:val="Body Text Indent 2"/>
    <w:basedOn w:val="1"/>
    <w:next w:val="1"/>
    <w:qFormat/>
    <w:uiPriority w:val="99"/>
    <w:pPr>
      <w:spacing w:after="120" w:line="480" w:lineRule="auto"/>
      <w:ind w:left="420" w:leftChars="200"/>
    </w:pPr>
  </w:style>
  <w:style w:type="paragraph" w:styleId="9">
    <w:name w:val="Balloon Text"/>
    <w:basedOn w:val="1"/>
    <w:qFormat/>
    <w:uiPriority w:val="0"/>
    <w:rPr>
      <w:sz w:val="18"/>
    </w:rPr>
  </w:style>
  <w:style w:type="paragraph" w:styleId="10">
    <w:name w:val="footer"/>
    <w:basedOn w:val="1"/>
    <w:qFormat/>
    <w:uiPriority w:val="0"/>
    <w:pPr>
      <w:tabs>
        <w:tab w:val="center" w:pos="4153"/>
        <w:tab w:val="right" w:pos="8306"/>
      </w:tabs>
      <w:snapToGrid w:val="0"/>
      <w:jc w:val="left"/>
    </w:pPr>
    <w:rPr>
      <w:sz w:val="18"/>
    </w:rPr>
  </w:style>
  <w:style w:type="paragraph" w:styleId="11">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pPr>
    <w:rPr>
      <w:sz w:val="18"/>
    </w:rPr>
  </w:style>
  <w:style w:type="paragraph" w:styleId="12">
    <w:name w:val="toc 1"/>
    <w:basedOn w:val="1"/>
    <w:next w:val="1"/>
    <w:qFormat/>
    <w:uiPriority w:val="39"/>
  </w:style>
  <w:style w:type="paragraph" w:styleId="13">
    <w:name w:val="toc 2"/>
    <w:basedOn w:val="1"/>
    <w:next w:val="1"/>
    <w:qFormat/>
    <w:uiPriority w:val="39"/>
    <w:pPr>
      <w:ind w:left="420" w:leftChars="200"/>
    </w:pPr>
  </w:style>
  <w:style w:type="paragraph" w:styleId="14">
    <w:name w:val="Normal (Web)"/>
    <w:basedOn w:val="1"/>
    <w:qFormat/>
    <w:uiPriority w:val="0"/>
    <w:pPr>
      <w:spacing w:before="100" w:beforeAutospacing="1" w:after="100" w:afterAutospacing="1"/>
      <w:jc w:val="left"/>
    </w:pPr>
    <w:rPr>
      <w:rFonts w:ascii="Calibri" w:hAnsi="Calibri" w:eastAsia="宋体" w:cs="Times New Roman"/>
      <w:kern w:val="0"/>
      <w:sz w:val="24"/>
      <w:szCs w:val="24"/>
    </w:rPr>
  </w:style>
  <w:style w:type="paragraph" w:styleId="15">
    <w:name w:val="Body Text First Indent 2"/>
    <w:basedOn w:val="6"/>
    <w:next w:val="1"/>
    <w:unhideWhenUsed/>
    <w:qFormat/>
    <w:uiPriority w:val="99"/>
    <w:pPr>
      <w:spacing w:after="0"/>
      <w:ind w:left="0" w:leftChars="0" w:firstLine="420"/>
    </w:pPr>
    <w:rPr>
      <w:rFonts w:ascii="Times New Roman"/>
    </w:rPr>
  </w:style>
  <w:style w:type="table" w:styleId="17">
    <w:name w:val="Table Grid"/>
    <w:basedOn w:val="16"/>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19">
    <w:name w:val="Strong"/>
    <w:basedOn w:val="18"/>
    <w:qFormat/>
    <w:uiPriority w:val="0"/>
    <w:rPr>
      <w:b/>
    </w:rPr>
  </w:style>
  <w:style w:type="character" w:styleId="20">
    <w:name w:val="Emphasis"/>
    <w:basedOn w:val="18"/>
    <w:qFormat/>
    <w:uiPriority w:val="0"/>
    <w:rPr>
      <w:i/>
    </w:rPr>
  </w:style>
  <w:style w:type="character" w:styleId="21">
    <w:name w:val="Hyperlink"/>
    <w:basedOn w:val="18"/>
    <w:unhideWhenUsed/>
    <w:qFormat/>
    <w:uiPriority w:val="99"/>
    <w:rPr>
      <w:color w:val="0563C1" w:themeColor="hyperlink"/>
      <w:u w:val="single"/>
      <w14:textFill>
        <w14:solidFill>
          <w14:schemeClr w14:val="hlink"/>
        </w14:solidFill>
      </w14:textFill>
    </w:rPr>
  </w:style>
  <w:style w:type="paragraph" w:customStyle="1" w:styleId="22">
    <w:name w:val="列出段落1"/>
    <w:basedOn w:val="1"/>
    <w:qFormat/>
    <w:uiPriority w:val="0"/>
    <w:pPr>
      <w:ind w:firstLine="420"/>
    </w:pPr>
    <w:rPr>
      <w:rFonts w:ascii="Times New Roman" w:hAnsi="Times New Roman" w:eastAsia="黑体" w:cs="Times New Roman"/>
    </w:rPr>
  </w:style>
  <w:style w:type="paragraph" w:customStyle="1" w:styleId="23">
    <w:name w:val="BodyText"/>
    <w:basedOn w:val="1"/>
    <w:qFormat/>
    <w:uiPriority w:val="0"/>
    <w:pPr>
      <w:spacing w:after="120"/>
    </w:pPr>
    <w:rPr>
      <w:rFonts w:ascii="Times New Roman" w:hAnsi="Times New Roman"/>
    </w:rPr>
  </w:style>
  <w:style w:type="character" w:customStyle="1" w:styleId="24">
    <w:name w:val="标题 2 Char"/>
    <w:basedOn w:val="18"/>
    <w:link w:val="3"/>
    <w:qFormat/>
    <w:uiPriority w:val="0"/>
    <w:rPr>
      <w:rFonts w:ascii="黑体" w:hAnsi="黑体" w:eastAsia="黑体" w:cs="黑体"/>
      <w:szCs w:val="22"/>
    </w:rPr>
  </w:style>
  <w:style w:type="character" w:customStyle="1" w:styleId="25">
    <w:name w:val="标题 3 Char"/>
    <w:link w:val="4"/>
    <w:qFormat/>
    <w:uiPriority w:val="0"/>
    <w:rPr>
      <w:rFonts w:ascii="楷体_GB2312" w:hAnsi="楷体_GB2312" w:eastAsia="黑体" w:cs="楷体_GB2312"/>
      <w:szCs w:val="22"/>
    </w:rPr>
  </w:style>
  <w:style w:type="table" w:customStyle="1" w:styleId="26">
    <w:name w:val="Table Normal"/>
    <w:semiHidden/>
    <w:unhideWhenUsed/>
    <w:qFormat/>
    <w:uiPriority w:val="0"/>
    <w:tblPr>
      <w:tblCellMar>
        <w:top w:w="0" w:type="dxa"/>
        <w:left w:w="0" w:type="dxa"/>
        <w:bottom w:w="0" w:type="dxa"/>
        <w:right w:w="0" w:type="dxa"/>
      </w:tblCellMar>
    </w:tblPr>
  </w:style>
  <w:style w:type="paragraph" w:customStyle="1" w:styleId="27">
    <w:name w:val="Table Text"/>
    <w:basedOn w:val="1"/>
    <w:semiHidden/>
    <w:qFormat/>
    <w:uiPriority w:val="0"/>
    <w:rPr>
      <w:rFonts w:ascii="仿宋" w:hAnsi="仿宋" w:eastAsia="仿宋" w:cs="仿宋"/>
      <w:sz w:val="22"/>
      <w:szCs w:val="22"/>
      <w:lang w:eastAsia="en-US"/>
    </w:rPr>
  </w:style>
  <w:style w:type="paragraph" w:customStyle="1" w:styleId="28">
    <w:name w:val="WPSOffice手动目录 1"/>
    <w:qFormat/>
    <w:uiPriority w:val="0"/>
    <w:rPr>
      <w:rFonts w:ascii="Times New Roman" w:hAnsi="Times New Roman" w:eastAsia="宋体" w:cs="Times New Roman"/>
      <w:lang w:val="en-US" w:eastAsia="zh-CN" w:bidi="ar-SA"/>
    </w:rPr>
  </w:style>
  <w:style w:type="paragraph" w:customStyle="1" w:styleId="29">
    <w:name w:val="WPSOffice手动目录 2"/>
    <w:qFormat/>
    <w:uiPriority w:val="0"/>
    <w:pPr>
      <w:ind w:left="200" w:leftChars="200"/>
    </w:pPr>
    <w:rPr>
      <w:rFonts w:ascii="Times New Roman" w:hAnsi="Times New Roman" w:eastAsia="宋体" w:cs="Times New Roman"/>
      <w:lang w:val="en-US" w:eastAsia="zh-CN" w:bidi="ar-SA"/>
    </w:rPr>
  </w:style>
  <w:style w:type="paragraph" w:customStyle="1" w:styleId="30">
    <w:name w:val="WPSOffice手动目录 3"/>
    <w:qFormat/>
    <w:uiPriority w:val="0"/>
    <w:pPr>
      <w:ind w:left="400" w:leftChars="400"/>
    </w:pPr>
    <w:rPr>
      <w:rFonts w:ascii="Times New Roman" w:hAnsi="Times New Roman" w:eastAsia="宋体" w:cs="Times New Roman"/>
      <w:lang w:val="en-US" w:eastAsia="zh-CN" w:bidi="ar-SA"/>
    </w:rPr>
  </w:style>
</w:styles>
</file>

<file path=word/_rels/document.xml.rels><?xml version="1.0" encoding="UTF-8" standalone="yes"?>
<Relationships xmlns="http://schemas.openxmlformats.org/package/2006/relationships"><Relationship Id="rId9" Type="http://schemas.openxmlformats.org/officeDocument/2006/relationships/footer" Target="footer4.xml"/><Relationship Id="rId8" Type="http://schemas.openxmlformats.org/officeDocument/2006/relationships/footer" Target="footer3.xml"/><Relationship Id="rId7" Type="http://schemas.openxmlformats.org/officeDocument/2006/relationships/footer" Target="footer2.xml"/><Relationship Id="rId6" Type="http://schemas.openxmlformats.org/officeDocument/2006/relationships/footer" Target="footer1.xml"/><Relationship Id="rId5" Type="http://schemas.openxmlformats.org/officeDocument/2006/relationships/header" Target="head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2" Type="http://schemas.openxmlformats.org/officeDocument/2006/relationships/fontTable" Target="fontTable.xml"/><Relationship Id="rId11" Type="http://schemas.openxmlformats.org/officeDocument/2006/relationships/customXml" Target="../customXml/item1.xml"/><Relationship Id="rId10" Type="http://schemas.openxmlformats.org/officeDocument/2006/relationships/theme" Target="theme/theme1.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9" Type="http://schemas.openxmlformats.org/officeDocument/2006/relationships/font" Target="fonts/font9.odttf"/><Relationship Id="rId8" Type="http://schemas.openxmlformats.org/officeDocument/2006/relationships/font" Target="fonts/font8.odttf"/><Relationship Id="rId7" Type="http://schemas.openxmlformats.org/officeDocument/2006/relationships/font" Target="fonts/font7.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4" Type="http://schemas.openxmlformats.org/officeDocument/2006/relationships/font" Target="fonts/font14.odttf"/><Relationship Id="rId13" Type="http://schemas.openxmlformats.org/officeDocument/2006/relationships/font" Target="fonts/font13.odttf"/><Relationship Id="rId12" Type="http://schemas.openxmlformats.org/officeDocument/2006/relationships/font" Target="fonts/font12.odttf"/><Relationship Id="rId11" Type="http://schemas.openxmlformats.org/officeDocument/2006/relationships/font" Target="fonts/font11.odttf"/><Relationship Id="rId10" Type="http://schemas.openxmlformats.org/officeDocument/2006/relationships/font" Target="fonts/font10.odttf"/><Relationship Id="rId1" Type="http://schemas.openxmlformats.org/officeDocument/2006/relationships/font" Target="fonts/font1.odttf"/></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100</Pages>
  <Words>9571</Words>
  <Characters>54557</Characters>
  <Lines>454</Lines>
  <Paragraphs>127</Paragraphs>
  <TotalTime>3</TotalTime>
  <ScaleCrop>false</ScaleCrop>
  <LinksUpToDate>false</LinksUpToDate>
  <CharactersWithSpaces>64001</CharactersWithSpaces>
  <Application>WPS Office_12.8.2.1114_F1E327BC-269C-435d-A152-05C5408002CA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2023-08-03T09:02:00Z</dcterms:created>
  <dc:creator>马先升</dc:creator>
  <cp:lastModifiedBy>森林之梦</cp:lastModifiedBy>
  <cp:lastPrinted>2026-06-27T10:17:00Z</cp:lastPrinted>
  <dcterms:modified xsi:type="dcterms:W3CDTF">2026-07-23T15:42:10Z</dcterms:modified>
  <cp:revision>12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2052-12.8.2.1114</vt:lpwstr>
  </property>
  <property fmtid="{D5CDD505-2E9C-101B-9397-08002B2CF9AE}" pid="3" name="ICV">
    <vt:lpwstr>F4CDEE8FE498C1816C46546AAC24B5AE_43</vt:lpwstr>
  </property>
  <property fmtid="{D5CDD505-2E9C-101B-9397-08002B2CF9AE}" pid="4" name="KSOTemplateDocerSaveRecord">
    <vt:lpwstr>eyJoZGlkIjoiNTlkYTkyMDdlNjNlNTE1ZTY4NzM5ZDllZTRlODU5NmEiLCJ1c2VySWQiOiI2MDA2MzMzNDkifQ==</vt:lpwstr>
  </property>
</Properties>
</file>